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 LOS</w:t>
      </w:r>
      <w:r w:rsidR="00D72985" w:rsidRPr="0001046D">
        <w:rPr>
          <w:rFonts w:ascii="Palatino Linotype" w:hAnsi="Palatino Linotype" w:cs="Arial"/>
          <w:b/>
          <w:sz w:val="24"/>
          <w:szCs w:val="24"/>
        </w:rPr>
        <w:t xml:space="preserve"> RECURSO</w:t>
      </w:r>
      <w:r w:rsidR="003A74F5">
        <w:rPr>
          <w:rFonts w:ascii="Palatino Linotype" w:hAnsi="Palatino Linotype" w:cs="Arial"/>
          <w:b/>
          <w:sz w:val="24"/>
          <w:szCs w:val="24"/>
        </w:rPr>
        <w:t>S</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3A74F5">
        <w:rPr>
          <w:rFonts w:ascii="Palatino Linotype" w:hAnsi="Palatino Linotype" w:cs="Arial"/>
          <w:b/>
          <w:sz w:val="24"/>
          <w:szCs w:val="24"/>
        </w:rPr>
        <w:t>4209</w:t>
      </w:r>
      <w:r w:rsidR="007E2CF8">
        <w:rPr>
          <w:rFonts w:ascii="Palatino Linotype" w:hAnsi="Palatino Linotype" w:cs="Arial"/>
          <w:b/>
          <w:sz w:val="24"/>
          <w:szCs w:val="24"/>
        </w:rPr>
        <w:t>/INFOEM/IP/RR/2018</w:t>
      </w:r>
      <w:r w:rsidR="003A74F5">
        <w:rPr>
          <w:rFonts w:ascii="Palatino Linotype" w:hAnsi="Palatino Linotype" w:cs="Arial"/>
          <w:b/>
          <w:sz w:val="24"/>
          <w:szCs w:val="24"/>
        </w:rPr>
        <w:t xml:space="preserve"> Y 04210/INFOEM/IP/RR/2018</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Pr="00105730"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C06207" w:rsidRDefault="00EA2C08" w:rsidP="00EA2C08">
      <w:pPr>
        <w:spacing w:after="0" w:line="336" w:lineRule="auto"/>
        <w:jc w:val="both"/>
        <w:rPr>
          <w:rFonts w:ascii="Palatino Linotype" w:hAnsi="Palatino Linotype" w:cs="Arial"/>
          <w:sz w:val="18"/>
          <w:szCs w:val="24"/>
        </w:rPr>
      </w:pPr>
    </w:p>
    <w:p w:rsidR="00C06207"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C06207" w:rsidRDefault="00C06207" w:rsidP="00EA2C08">
      <w:pPr>
        <w:spacing w:after="0" w:line="336" w:lineRule="auto"/>
        <w:jc w:val="both"/>
        <w:rPr>
          <w:rFonts w:ascii="Palatino Linotype" w:hAnsi="Palatino Linotype" w:cs="Arial"/>
          <w:sz w:val="24"/>
          <w:szCs w:val="24"/>
        </w:rPr>
      </w:pPr>
    </w:p>
    <w:p w:rsidR="00EA2C08"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C06207" w:rsidRDefault="00C06207" w:rsidP="00EA2C08">
      <w:pPr>
        <w:spacing w:after="0" w:line="336" w:lineRule="auto"/>
        <w:jc w:val="both"/>
        <w:rPr>
          <w:rFonts w:ascii="Palatino Linotype" w:hAnsi="Palatino Linotype" w:cs="Arial"/>
          <w:sz w:val="24"/>
          <w:szCs w:val="24"/>
        </w:rPr>
      </w:pPr>
    </w:p>
    <w:p w:rsidR="0046491C" w:rsidRPr="0001046D" w:rsidRDefault="00EA2C08" w:rsidP="00C06207">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436B8D">
          <w:pPr>
            <w:pStyle w:val="TtulodeTDC"/>
            <w:spacing w:line="240" w:lineRule="auto"/>
            <w:rPr>
              <w:rFonts w:ascii="Palatino Linotype" w:hAnsi="Palatino Linotype"/>
            </w:rPr>
          </w:pPr>
        </w:p>
        <w:p w:rsidR="0025608F" w:rsidRDefault="0046491C" w:rsidP="00436B8D">
          <w:pPr>
            <w:pStyle w:val="TDC1"/>
            <w:spacing w:line="240" w:lineRule="auto"/>
            <w:rPr>
              <w:rStyle w:val="Hipervnculo"/>
              <w:noProof/>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270835" w:history="1">
            <w:r w:rsidR="0025608F" w:rsidRPr="00F13BBF">
              <w:rPr>
                <w:rStyle w:val="Hipervnculo"/>
                <w:rFonts w:ascii="Palatino Linotype" w:hAnsi="Palatino Linotype"/>
                <w:b/>
                <w:noProof/>
              </w:rPr>
              <w:t>I.</w:t>
            </w:r>
            <w:r w:rsidR="0025608F">
              <w:rPr>
                <w:rFonts w:eastAsiaTheme="minorEastAsia"/>
                <w:noProof/>
                <w:lang w:eastAsia="es-MX"/>
              </w:rPr>
              <w:tab/>
            </w:r>
            <w:r w:rsidR="0025608F" w:rsidRPr="00F13BBF">
              <w:rPr>
                <w:rStyle w:val="Hipervnculo"/>
                <w:rFonts w:ascii="Palatino Linotype" w:hAnsi="Palatino Linotype"/>
                <w:b/>
                <w:noProof/>
              </w:rPr>
              <w:t>Consideraciones Generales.</w:t>
            </w:r>
            <w:r w:rsidR="0025608F">
              <w:rPr>
                <w:noProof/>
                <w:webHidden/>
              </w:rPr>
              <w:tab/>
            </w:r>
            <w:r w:rsidR="0025608F">
              <w:rPr>
                <w:noProof/>
                <w:webHidden/>
              </w:rPr>
              <w:fldChar w:fldCharType="begin"/>
            </w:r>
            <w:r w:rsidR="0025608F">
              <w:rPr>
                <w:noProof/>
                <w:webHidden/>
              </w:rPr>
              <w:instrText xml:space="preserve"> PAGEREF _Toc270835 \h </w:instrText>
            </w:r>
            <w:r w:rsidR="0025608F">
              <w:rPr>
                <w:noProof/>
                <w:webHidden/>
              </w:rPr>
            </w:r>
            <w:r w:rsidR="0025608F">
              <w:rPr>
                <w:noProof/>
                <w:webHidden/>
              </w:rPr>
              <w:fldChar w:fldCharType="separate"/>
            </w:r>
            <w:r w:rsidR="00A90811">
              <w:rPr>
                <w:noProof/>
                <w:webHidden/>
              </w:rPr>
              <w:t>2</w:t>
            </w:r>
            <w:r w:rsidR="0025608F">
              <w:rPr>
                <w:noProof/>
                <w:webHidden/>
              </w:rPr>
              <w:fldChar w:fldCharType="end"/>
            </w:r>
          </w:hyperlink>
        </w:p>
        <w:p w:rsidR="0025608F" w:rsidRPr="0025608F" w:rsidRDefault="0025608F" w:rsidP="00436B8D">
          <w:pPr>
            <w:spacing w:line="240" w:lineRule="auto"/>
          </w:pPr>
        </w:p>
        <w:p w:rsidR="0025608F" w:rsidRDefault="00163D31" w:rsidP="00436B8D">
          <w:pPr>
            <w:pStyle w:val="TDC1"/>
            <w:spacing w:line="240" w:lineRule="auto"/>
            <w:rPr>
              <w:rStyle w:val="Hipervnculo"/>
              <w:noProof/>
            </w:rPr>
          </w:pPr>
          <w:hyperlink w:anchor="_Toc270836" w:history="1">
            <w:r w:rsidR="0025608F" w:rsidRPr="00F13BBF">
              <w:rPr>
                <w:rStyle w:val="Hipervnculo"/>
                <w:rFonts w:ascii="Palatino Linotype" w:hAnsi="Palatino Linotype"/>
                <w:b/>
                <w:noProof/>
              </w:rPr>
              <w:t>II.</w:t>
            </w:r>
            <w:r w:rsidR="0025608F">
              <w:rPr>
                <w:rFonts w:eastAsiaTheme="minorEastAsia"/>
                <w:noProof/>
                <w:lang w:eastAsia="es-MX"/>
              </w:rPr>
              <w:tab/>
            </w:r>
            <w:r w:rsidR="0025608F" w:rsidRPr="00F13BBF">
              <w:rPr>
                <w:rStyle w:val="Hipervnculo"/>
                <w:rFonts w:ascii="Palatino Linotype" w:hAnsi="Palatino Linotype"/>
                <w:b/>
                <w:noProof/>
              </w:rPr>
              <w:t>De los requerimientos planteados en los recursos de revisión.</w:t>
            </w:r>
            <w:r w:rsidR="0025608F">
              <w:rPr>
                <w:noProof/>
                <w:webHidden/>
              </w:rPr>
              <w:tab/>
            </w:r>
            <w:r w:rsidR="0025608F">
              <w:rPr>
                <w:noProof/>
                <w:webHidden/>
              </w:rPr>
              <w:fldChar w:fldCharType="begin"/>
            </w:r>
            <w:r w:rsidR="0025608F">
              <w:rPr>
                <w:noProof/>
                <w:webHidden/>
              </w:rPr>
              <w:instrText xml:space="preserve"> PAGEREF _Toc270836 \h </w:instrText>
            </w:r>
            <w:r w:rsidR="0025608F">
              <w:rPr>
                <w:noProof/>
                <w:webHidden/>
              </w:rPr>
            </w:r>
            <w:r w:rsidR="0025608F">
              <w:rPr>
                <w:noProof/>
                <w:webHidden/>
              </w:rPr>
              <w:fldChar w:fldCharType="separate"/>
            </w:r>
            <w:r w:rsidR="00A90811">
              <w:rPr>
                <w:noProof/>
                <w:webHidden/>
              </w:rPr>
              <w:t>3</w:t>
            </w:r>
            <w:r w:rsidR="0025608F">
              <w:rPr>
                <w:noProof/>
                <w:webHidden/>
              </w:rPr>
              <w:fldChar w:fldCharType="end"/>
            </w:r>
          </w:hyperlink>
        </w:p>
        <w:p w:rsidR="0025608F" w:rsidRPr="0025608F" w:rsidRDefault="0025608F" w:rsidP="00436B8D">
          <w:pPr>
            <w:spacing w:line="240" w:lineRule="auto"/>
          </w:pPr>
        </w:p>
        <w:p w:rsidR="0025608F" w:rsidRDefault="00163D31" w:rsidP="00436B8D">
          <w:pPr>
            <w:pStyle w:val="TDC1"/>
            <w:spacing w:line="240" w:lineRule="auto"/>
            <w:rPr>
              <w:rFonts w:eastAsiaTheme="minorEastAsia"/>
              <w:noProof/>
              <w:lang w:eastAsia="es-MX"/>
            </w:rPr>
          </w:pPr>
          <w:hyperlink w:anchor="_Toc270837" w:history="1">
            <w:r w:rsidR="0025608F" w:rsidRPr="00F13BBF">
              <w:rPr>
                <w:rStyle w:val="Hipervnculo"/>
                <w:rFonts w:ascii="Palatino Linotype" w:hAnsi="Palatino Linotype"/>
                <w:b/>
                <w:noProof/>
              </w:rPr>
              <w:t>III.</w:t>
            </w:r>
            <w:r w:rsidR="0025608F">
              <w:rPr>
                <w:rFonts w:eastAsiaTheme="minorEastAsia"/>
                <w:noProof/>
                <w:lang w:eastAsia="es-MX"/>
              </w:rPr>
              <w:tab/>
            </w:r>
            <w:r w:rsidR="0025608F" w:rsidRPr="00F13BBF">
              <w:rPr>
                <w:rStyle w:val="Hipervnculo"/>
                <w:rFonts w:ascii="Palatino Linotype" w:hAnsi="Palatino Linotype"/>
                <w:b/>
                <w:noProof/>
              </w:rPr>
              <w:t>Los actos consentidos no deben invocarse en el derecho fundamental de acceder a la información pública gubernamental.</w:t>
            </w:r>
            <w:r w:rsidR="0025608F">
              <w:rPr>
                <w:noProof/>
                <w:webHidden/>
              </w:rPr>
              <w:tab/>
            </w:r>
            <w:r w:rsidR="0025608F">
              <w:rPr>
                <w:noProof/>
                <w:webHidden/>
              </w:rPr>
              <w:fldChar w:fldCharType="begin"/>
            </w:r>
            <w:r w:rsidR="0025608F">
              <w:rPr>
                <w:noProof/>
                <w:webHidden/>
              </w:rPr>
              <w:instrText xml:space="preserve"> PAGEREF _Toc270837 \h </w:instrText>
            </w:r>
            <w:r w:rsidR="0025608F">
              <w:rPr>
                <w:noProof/>
                <w:webHidden/>
              </w:rPr>
            </w:r>
            <w:r w:rsidR="0025608F">
              <w:rPr>
                <w:noProof/>
                <w:webHidden/>
              </w:rPr>
              <w:fldChar w:fldCharType="separate"/>
            </w:r>
            <w:r w:rsidR="00A90811">
              <w:rPr>
                <w:noProof/>
                <w:webHidden/>
              </w:rPr>
              <w:t>10</w:t>
            </w:r>
            <w:r w:rsidR="0025608F">
              <w:rPr>
                <w:noProof/>
                <w:webHidden/>
              </w:rPr>
              <w:fldChar w:fldCharType="end"/>
            </w:r>
          </w:hyperlink>
        </w:p>
        <w:p w:rsidR="0046491C" w:rsidRPr="0001046D" w:rsidRDefault="0046491C" w:rsidP="00436B8D">
          <w:pPr>
            <w:spacing w:line="24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270835"/>
      <w:r w:rsidRPr="0001046D">
        <w:rPr>
          <w:rFonts w:ascii="Palatino Linotype" w:hAnsi="Palatino Linotype"/>
          <w:b/>
          <w:color w:val="auto"/>
          <w:sz w:val="24"/>
          <w:szCs w:val="24"/>
        </w:rPr>
        <w:t>Consideraciones Generales.</w:t>
      </w:r>
      <w:bookmarkEnd w:id="1"/>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EA2C08">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DA6B18">
        <w:rPr>
          <w:rFonts w:ascii="Palatino Linotype" w:hAnsi="Palatino Linotype" w:cs="Arial"/>
          <w:sz w:val="24"/>
          <w:szCs w:val="24"/>
        </w:rPr>
        <w:t>Cuarta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3A74F5">
        <w:rPr>
          <w:rFonts w:ascii="Palatino Linotype" w:hAnsi="Palatino Linotype" w:cs="Arial"/>
          <w:sz w:val="24"/>
          <w:szCs w:val="24"/>
        </w:rPr>
        <w:t>treinta</w:t>
      </w:r>
      <w:r w:rsidRPr="00E34F08">
        <w:rPr>
          <w:rFonts w:ascii="Palatino Linotype" w:hAnsi="Palatino Linotype" w:cs="Arial"/>
          <w:sz w:val="24"/>
          <w:szCs w:val="24"/>
        </w:rPr>
        <w:t xml:space="preserve"> (</w:t>
      </w:r>
      <w:r w:rsidR="003A74F5">
        <w:rPr>
          <w:rFonts w:ascii="Palatino Linotype" w:hAnsi="Palatino Linotype" w:cs="Arial"/>
          <w:sz w:val="24"/>
          <w:szCs w:val="24"/>
        </w:rPr>
        <w:t>30</w:t>
      </w:r>
      <w:r w:rsidR="00225026" w:rsidRPr="00E34F08">
        <w:rPr>
          <w:rFonts w:ascii="Palatino Linotype" w:hAnsi="Palatino Linotype" w:cs="Arial"/>
          <w:sz w:val="24"/>
          <w:szCs w:val="24"/>
        </w:rPr>
        <w:t xml:space="preserve">) de </w:t>
      </w:r>
      <w:r w:rsidR="003A74F5">
        <w:rPr>
          <w:rFonts w:ascii="Palatino Linotype" w:hAnsi="Palatino Linotype" w:cs="Arial"/>
          <w:sz w:val="24"/>
          <w:szCs w:val="24"/>
        </w:rPr>
        <w:t>enero</w:t>
      </w:r>
      <w:r w:rsidR="0076241F">
        <w:rPr>
          <w:rFonts w:ascii="Palatino Linotype" w:hAnsi="Palatino Linotype" w:cs="Arial"/>
          <w:sz w:val="24"/>
          <w:szCs w:val="24"/>
        </w:rPr>
        <w:t xml:space="preserve"> de dos mil dieciocho</w:t>
      </w:r>
      <w:r w:rsidR="003A74F5">
        <w:rPr>
          <w:rFonts w:ascii="Palatino Linotype" w:hAnsi="Palatino Linotype" w:cs="Arial"/>
          <w:sz w:val="24"/>
          <w:szCs w:val="24"/>
        </w:rPr>
        <w:t>, en los</w:t>
      </w:r>
      <w:r w:rsidRPr="00E34F08">
        <w:rPr>
          <w:rFonts w:ascii="Palatino Linotype" w:hAnsi="Palatino Linotype" w:cs="Arial"/>
          <w:sz w:val="24"/>
          <w:szCs w:val="24"/>
        </w:rPr>
        <w:t xml:space="preserve"> recurso</w:t>
      </w:r>
      <w:r w:rsidR="003A74F5">
        <w:rPr>
          <w:rFonts w:ascii="Palatino Linotype" w:hAnsi="Palatino Linotype" w:cs="Arial"/>
          <w:sz w:val="24"/>
          <w:szCs w:val="24"/>
        </w:rPr>
        <w:t>s</w:t>
      </w:r>
      <w:r w:rsidR="002C1F75" w:rsidRPr="00E34F08">
        <w:rPr>
          <w:rFonts w:ascii="Palatino Linotype" w:hAnsi="Palatino Linotype" w:cs="Arial"/>
          <w:sz w:val="24"/>
          <w:szCs w:val="24"/>
        </w:rPr>
        <w:t xml:space="preserve"> de revisión promovido</w:t>
      </w:r>
      <w:r w:rsidR="003A74F5">
        <w:rPr>
          <w:rFonts w:ascii="Palatino Linotype" w:hAnsi="Palatino Linotype" w:cs="Arial"/>
          <w:sz w:val="24"/>
          <w:szCs w:val="24"/>
        </w:rPr>
        <w:t>s</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163D31" w:rsidRPr="00163D31">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w:t>
      </w:r>
      <w:r w:rsidR="00902248" w:rsidRPr="00E34F08">
        <w:rPr>
          <w:rFonts w:ascii="Palatino Linotype" w:hAnsi="Palatino Linotype" w:cs="Arial"/>
          <w:sz w:val="24"/>
          <w:szCs w:val="24"/>
        </w:rPr>
        <w:t>s</w:t>
      </w:r>
      <w:r w:rsidRPr="00E34F08">
        <w:rPr>
          <w:rFonts w:ascii="Palatino Linotype" w:hAnsi="Palatino Linotype" w:cs="Arial"/>
          <w:sz w:val="24"/>
          <w:szCs w:val="24"/>
        </w:rPr>
        <w:t xml:space="preserve"> respuesta</w:t>
      </w:r>
      <w:r w:rsidR="003A74F5">
        <w:rPr>
          <w:rFonts w:ascii="Palatino Linotype" w:hAnsi="Palatino Linotype" w:cs="Arial"/>
          <w:sz w:val="24"/>
          <w:szCs w:val="24"/>
        </w:rPr>
        <w:t>s</w:t>
      </w:r>
      <w:r w:rsidRPr="00E34F08">
        <w:rPr>
          <w:rFonts w:ascii="Palatino Linotype" w:hAnsi="Palatino Linotype" w:cs="Arial"/>
          <w:sz w:val="24"/>
          <w:szCs w:val="24"/>
        </w:rPr>
        <w:t xml:space="preserve"> de</w:t>
      </w:r>
      <w:r w:rsidR="008E4128">
        <w:rPr>
          <w:rFonts w:ascii="Palatino Linotype" w:hAnsi="Palatino Linotype" w:cs="Arial"/>
          <w:sz w:val="24"/>
          <w:szCs w:val="24"/>
        </w:rPr>
        <w:t xml:space="preserve"> </w:t>
      </w:r>
      <w:r w:rsidRPr="00E34F08">
        <w:rPr>
          <w:rFonts w:ascii="Palatino Linotype" w:hAnsi="Palatino Linotype" w:cs="Arial"/>
          <w:sz w:val="24"/>
          <w:szCs w:val="24"/>
        </w:rPr>
        <w:t>l</w:t>
      </w:r>
      <w:r w:rsidR="008E4128">
        <w:rPr>
          <w:rFonts w:ascii="Palatino Linotype" w:hAnsi="Palatino Linotype" w:cs="Arial"/>
          <w:sz w:val="24"/>
          <w:szCs w:val="24"/>
        </w:rPr>
        <w:t>a</w:t>
      </w:r>
      <w:r w:rsidRPr="00E34F08">
        <w:rPr>
          <w:rFonts w:ascii="Palatino Linotype" w:hAnsi="Palatino Linotype" w:cs="Arial"/>
          <w:sz w:val="24"/>
          <w:szCs w:val="24"/>
        </w:rPr>
        <w:t xml:space="preserve"> </w:t>
      </w:r>
      <w:r w:rsidR="008E4128">
        <w:rPr>
          <w:rFonts w:ascii="Palatino Linotype" w:eastAsia="Calibri" w:hAnsi="Palatino Linotype" w:cs="Times New Roman"/>
          <w:b/>
          <w:sz w:val="24"/>
          <w:szCs w:val="24"/>
          <w:lang w:val="es-ES" w:eastAsia="es-ES"/>
        </w:rPr>
        <w:t>Universidad Politécnica del Valle de Toluca</w:t>
      </w:r>
      <w:r w:rsidRPr="00E34F08">
        <w:rPr>
          <w:rFonts w:ascii="Palatino Linotype" w:hAnsi="Palatino Linotype" w:cs="Arial"/>
          <w:sz w:val="24"/>
          <w:szCs w:val="24"/>
        </w:rPr>
        <w:t>, procedimiento</w:t>
      </w:r>
      <w:r w:rsidR="003A74F5">
        <w:rPr>
          <w:rFonts w:ascii="Palatino Linotype" w:hAnsi="Palatino Linotype" w:cs="Arial"/>
          <w:sz w:val="24"/>
          <w:szCs w:val="24"/>
        </w:rPr>
        <w:t>s</w:t>
      </w:r>
      <w:r w:rsidRPr="00E34F08">
        <w:rPr>
          <w:rFonts w:ascii="Palatino Linotype" w:hAnsi="Palatino Linotype" w:cs="Arial"/>
          <w:sz w:val="24"/>
          <w:szCs w:val="24"/>
        </w:rPr>
        <w:t xml:space="preserve"> a</w:t>
      </w:r>
      <w:r w:rsidR="003A74F5">
        <w:rPr>
          <w:rFonts w:ascii="Palatino Linotype" w:hAnsi="Palatino Linotype" w:cs="Arial"/>
          <w:sz w:val="24"/>
          <w:szCs w:val="24"/>
        </w:rPr>
        <w:t xml:space="preserve"> </w:t>
      </w:r>
      <w:r w:rsidR="0000525F" w:rsidRPr="00E34F08">
        <w:rPr>
          <w:rFonts w:ascii="Palatino Linotype" w:hAnsi="Palatino Linotype" w:cs="Arial"/>
          <w:sz w:val="24"/>
          <w:szCs w:val="24"/>
        </w:rPr>
        <w:t>l</w:t>
      </w:r>
      <w:r w:rsidR="003A74F5">
        <w:rPr>
          <w:rFonts w:ascii="Palatino Linotype" w:hAnsi="Palatino Linotype" w:cs="Arial"/>
          <w:sz w:val="24"/>
          <w:szCs w:val="24"/>
        </w:rPr>
        <w:t>os</w:t>
      </w:r>
      <w:r w:rsidR="00902248" w:rsidRPr="00E34F08">
        <w:rPr>
          <w:rFonts w:ascii="Palatino Linotype" w:hAnsi="Palatino Linotype" w:cs="Arial"/>
          <w:sz w:val="24"/>
          <w:szCs w:val="24"/>
        </w:rPr>
        <w:t xml:space="preserve"> que se le</w:t>
      </w:r>
      <w:r w:rsidR="003A74F5">
        <w:rPr>
          <w:rFonts w:ascii="Palatino Linotype" w:hAnsi="Palatino Linotype" w:cs="Arial"/>
          <w:sz w:val="24"/>
          <w:szCs w:val="24"/>
        </w:rPr>
        <w:t>s</w:t>
      </w:r>
      <w:r w:rsidR="00902248" w:rsidRPr="00E34F08">
        <w:rPr>
          <w:rFonts w:ascii="Palatino Linotype" w:hAnsi="Palatino Linotype" w:cs="Arial"/>
          <w:sz w:val="24"/>
          <w:szCs w:val="24"/>
        </w:rPr>
        <w:t xml:space="preserve"> asignó </w:t>
      </w:r>
      <w:r w:rsidR="003A74F5">
        <w:rPr>
          <w:rFonts w:ascii="Palatino Linotype" w:hAnsi="Palatino Linotype" w:cs="Arial"/>
          <w:sz w:val="24"/>
          <w:szCs w:val="24"/>
        </w:rPr>
        <w:t>los</w:t>
      </w:r>
      <w:r w:rsidRPr="00E34F08">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w:t>
      </w:r>
      <w:r w:rsidR="003A74F5">
        <w:rPr>
          <w:rFonts w:ascii="Palatino Linotype" w:eastAsia="Times New Roman" w:hAnsi="Palatino Linotype" w:cs="Arial"/>
          <w:b/>
          <w:bCs/>
          <w:sz w:val="24"/>
          <w:szCs w:val="24"/>
          <w:lang w:eastAsia="es-ES"/>
        </w:rPr>
        <w:t>4209</w:t>
      </w:r>
      <w:r w:rsidR="008C2FF2">
        <w:rPr>
          <w:rFonts w:ascii="Palatino Linotype" w:eastAsia="Times New Roman" w:hAnsi="Palatino Linotype" w:cs="Arial"/>
          <w:b/>
          <w:bCs/>
          <w:sz w:val="24"/>
          <w:szCs w:val="24"/>
          <w:lang w:eastAsia="es-ES"/>
        </w:rPr>
        <w:t>/INFOEM/IP/RR/2018</w:t>
      </w:r>
      <w:r w:rsidR="003A74F5">
        <w:rPr>
          <w:rFonts w:ascii="Palatino Linotype" w:eastAsia="Times New Roman" w:hAnsi="Palatino Linotype" w:cs="Arial"/>
          <w:b/>
          <w:bCs/>
          <w:sz w:val="24"/>
          <w:szCs w:val="24"/>
          <w:lang w:eastAsia="es-ES"/>
        </w:rPr>
        <w:t xml:space="preserve"> y 04210/INFOEM/IP/RR/2018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E34F08">
      <w:pPr>
        <w:pStyle w:val="Prrafodelista"/>
        <w:spacing w:after="0" w:line="360" w:lineRule="auto"/>
        <w:ind w:left="426"/>
        <w:jc w:val="both"/>
        <w:rPr>
          <w:rFonts w:ascii="Palatino Linotype" w:hAnsi="Palatino Linotype" w:cs="Arial"/>
          <w:sz w:val="24"/>
          <w:szCs w:val="24"/>
        </w:rPr>
      </w:pPr>
    </w:p>
    <w:p w:rsidR="00EA2C08" w:rsidRDefault="008E4128" w:rsidP="00EA2C0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A través del estudio realizado dentro de la resolución que al rubro se indica, la Ponencia Resolutora determinó que</w:t>
      </w:r>
      <w:r w:rsidR="00B25A37">
        <w:rPr>
          <w:rFonts w:ascii="Palatino Linotype" w:hAnsi="Palatino Linotype" w:cs="Arial"/>
          <w:sz w:val="24"/>
          <w:szCs w:val="24"/>
        </w:rPr>
        <w:t>, para efectos de</w:t>
      </w:r>
      <w:r w:rsidR="004148A3">
        <w:rPr>
          <w:rFonts w:ascii="Palatino Linotype" w:hAnsi="Palatino Linotype" w:cs="Arial"/>
          <w:sz w:val="24"/>
          <w:szCs w:val="24"/>
        </w:rPr>
        <w:t xml:space="preserve"> </w:t>
      </w:r>
      <w:r w:rsidR="00B25A37">
        <w:rPr>
          <w:rFonts w:ascii="Palatino Linotype" w:hAnsi="Palatino Linotype" w:cs="Arial"/>
          <w:sz w:val="24"/>
          <w:szCs w:val="24"/>
        </w:rPr>
        <w:t>l</w:t>
      </w:r>
      <w:r w:rsidR="004148A3">
        <w:rPr>
          <w:rFonts w:ascii="Palatino Linotype" w:hAnsi="Palatino Linotype" w:cs="Arial"/>
          <w:sz w:val="24"/>
          <w:szCs w:val="24"/>
        </w:rPr>
        <w:t xml:space="preserve">os </w:t>
      </w:r>
      <w:r w:rsidR="00B25A37">
        <w:rPr>
          <w:rFonts w:ascii="Palatino Linotype" w:hAnsi="Palatino Linotype" w:cs="Arial"/>
          <w:sz w:val="24"/>
          <w:szCs w:val="24"/>
        </w:rPr>
        <w:t>recurso</w:t>
      </w:r>
      <w:r w:rsidR="004148A3">
        <w:rPr>
          <w:rFonts w:ascii="Palatino Linotype" w:hAnsi="Palatino Linotype" w:cs="Arial"/>
          <w:sz w:val="24"/>
          <w:szCs w:val="24"/>
        </w:rPr>
        <w:t>s</w:t>
      </w:r>
      <w:r w:rsidR="00B25A37">
        <w:rPr>
          <w:rFonts w:ascii="Palatino Linotype" w:hAnsi="Palatino Linotype" w:cs="Arial"/>
          <w:sz w:val="24"/>
          <w:szCs w:val="24"/>
        </w:rPr>
        <w:t xml:space="preserve"> de revisión</w:t>
      </w:r>
      <w:r w:rsidR="004148A3">
        <w:rPr>
          <w:rFonts w:ascii="Palatino Linotype" w:hAnsi="Palatino Linotype" w:cs="Arial"/>
          <w:sz w:val="24"/>
          <w:szCs w:val="24"/>
        </w:rPr>
        <w:t xml:space="preserve"> los motivos de inconformidad hechos </w:t>
      </w:r>
      <w:r w:rsidR="005A4C79">
        <w:rPr>
          <w:rFonts w:ascii="Palatino Linotype" w:hAnsi="Palatino Linotype" w:cs="Arial"/>
          <w:sz w:val="24"/>
          <w:szCs w:val="24"/>
        </w:rPr>
        <w:t xml:space="preserve">valer por </w:t>
      </w:r>
      <w:r w:rsidR="004148A3">
        <w:rPr>
          <w:rFonts w:ascii="Palatino Linotype" w:hAnsi="Palatino Linotype" w:cs="Arial"/>
          <w:sz w:val="24"/>
          <w:szCs w:val="24"/>
        </w:rPr>
        <w:t>l</w:t>
      </w:r>
      <w:r w:rsidR="005A4C79">
        <w:rPr>
          <w:rFonts w:ascii="Palatino Linotype" w:hAnsi="Palatino Linotype" w:cs="Arial"/>
          <w:sz w:val="24"/>
          <w:szCs w:val="24"/>
        </w:rPr>
        <w:t>a</w:t>
      </w:r>
      <w:r w:rsidR="004148A3">
        <w:rPr>
          <w:rFonts w:ascii="Palatino Linotype" w:hAnsi="Palatino Linotype" w:cs="Arial"/>
          <w:sz w:val="24"/>
          <w:szCs w:val="24"/>
        </w:rPr>
        <w:t xml:space="preserve"> </w:t>
      </w:r>
      <w:r w:rsidR="004148A3" w:rsidRPr="004148A3">
        <w:rPr>
          <w:rFonts w:ascii="Palatino Linotype" w:hAnsi="Palatino Linotype" w:cs="Arial"/>
          <w:b/>
          <w:sz w:val="24"/>
          <w:szCs w:val="24"/>
        </w:rPr>
        <w:t>RECURRENTE</w:t>
      </w:r>
      <w:r w:rsidR="004148A3">
        <w:rPr>
          <w:rFonts w:ascii="Palatino Linotype" w:hAnsi="Palatino Linotype" w:cs="Arial"/>
          <w:sz w:val="24"/>
          <w:szCs w:val="24"/>
        </w:rPr>
        <w:t>; en el recurso 04209/INFOEM/IP/RR/2018,</w:t>
      </w:r>
      <w:r w:rsidR="00B25A37">
        <w:rPr>
          <w:rFonts w:ascii="Palatino Linotype" w:hAnsi="Palatino Linotype" w:cs="Arial"/>
          <w:sz w:val="24"/>
          <w:szCs w:val="24"/>
        </w:rPr>
        <w:t xml:space="preserve"> </w:t>
      </w:r>
      <w:r>
        <w:rPr>
          <w:rFonts w:ascii="Palatino Linotype" w:hAnsi="Palatino Linotype" w:cs="Arial"/>
          <w:sz w:val="24"/>
          <w:szCs w:val="24"/>
        </w:rPr>
        <w:t xml:space="preserve">resultaban </w:t>
      </w:r>
      <w:r w:rsidR="004148A3">
        <w:rPr>
          <w:rFonts w:ascii="Palatino Linotype" w:hAnsi="Palatino Linotype" w:cs="Arial"/>
          <w:sz w:val="24"/>
          <w:szCs w:val="24"/>
        </w:rPr>
        <w:t xml:space="preserve">fundados; y, para el recurso 0410/INFOEM/IP/RR/2018, resultaban </w:t>
      </w:r>
      <w:r w:rsidR="003837C2">
        <w:rPr>
          <w:rFonts w:ascii="Palatino Linotype" w:hAnsi="Palatino Linotype" w:cs="Arial"/>
          <w:sz w:val="24"/>
          <w:szCs w:val="24"/>
        </w:rPr>
        <w:t xml:space="preserve">parcialmente </w:t>
      </w:r>
      <w:r w:rsidR="0046491C" w:rsidRPr="0001046D">
        <w:rPr>
          <w:rFonts w:ascii="Palatino Linotype" w:hAnsi="Palatino Linotype" w:cs="Arial"/>
          <w:sz w:val="24"/>
          <w:szCs w:val="24"/>
        </w:rPr>
        <w:t>fundad</w:t>
      </w:r>
      <w:r w:rsidR="0000525F" w:rsidRPr="0001046D">
        <w:rPr>
          <w:rFonts w:ascii="Palatino Linotype" w:hAnsi="Palatino Linotype" w:cs="Arial"/>
          <w:sz w:val="24"/>
          <w:szCs w:val="24"/>
        </w:rPr>
        <w:t>o</w:t>
      </w:r>
      <w:r w:rsidR="0046491C" w:rsidRPr="0001046D">
        <w:rPr>
          <w:rFonts w:ascii="Palatino Linotype" w:hAnsi="Palatino Linotype" w:cs="Arial"/>
          <w:sz w:val="24"/>
          <w:szCs w:val="24"/>
        </w:rPr>
        <w:t>s, en</w:t>
      </w:r>
      <w:r w:rsidR="00AA49F3" w:rsidRPr="0001046D">
        <w:rPr>
          <w:rFonts w:ascii="Palatino Linotype" w:hAnsi="Palatino Linotype" w:cs="Arial"/>
          <w:sz w:val="24"/>
          <w:szCs w:val="24"/>
        </w:rPr>
        <w:t xml:space="preserve"> términos del Considerando </w:t>
      </w:r>
      <w:r w:rsidR="003837C2">
        <w:rPr>
          <w:rFonts w:ascii="Palatino Linotype" w:hAnsi="Palatino Linotype" w:cs="Arial"/>
          <w:sz w:val="24"/>
          <w:szCs w:val="24"/>
        </w:rPr>
        <w:t>C</w:t>
      </w:r>
      <w:r w:rsidR="00BF3534" w:rsidRPr="0001046D">
        <w:rPr>
          <w:rFonts w:ascii="Palatino Linotype" w:hAnsi="Palatino Linotype" w:cs="Arial"/>
          <w:sz w:val="24"/>
          <w:szCs w:val="24"/>
        </w:rPr>
        <w:t>uarto de la resolución</w:t>
      </w:r>
      <w:r w:rsidR="00C06207">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C06207">
        <w:rPr>
          <w:rFonts w:ascii="Palatino Linotype" w:hAnsi="Palatino Linotype" w:cs="Arial"/>
          <w:sz w:val="24"/>
          <w:szCs w:val="24"/>
        </w:rPr>
        <w:t xml:space="preserve">se </w:t>
      </w:r>
      <w:r w:rsidR="00424DE3">
        <w:rPr>
          <w:rFonts w:ascii="Palatino Linotype" w:hAnsi="Palatino Linotype" w:cs="Arial"/>
          <w:sz w:val="24"/>
          <w:szCs w:val="24"/>
        </w:rPr>
        <w:t>consideró</w:t>
      </w:r>
      <w:r w:rsidR="004148A3">
        <w:rPr>
          <w:rFonts w:ascii="Palatino Linotype" w:hAnsi="Palatino Linotype" w:cs="Arial"/>
          <w:sz w:val="24"/>
          <w:szCs w:val="24"/>
        </w:rPr>
        <w:t xml:space="preserve">, en ambos recursos, </w:t>
      </w:r>
      <w:r w:rsidR="004148A3" w:rsidRPr="004148A3">
        <w:rPr>
          <w:rFonts w:ascii="Palatino Linotype" w:hAnsi="Palatino Linotype" w:cs="Arial"/>
          <w:b/>
          <w:sz w:val="24"/>
          <w:szCs w:val="24"/>
        </w:rPr>
        <w:t>MODIFICAR</w:t>
      </w:r>
      <w:r w:rsidR="008E1DCC">
        <w:rPr>
          <w:rFonts w:ascii="Palatino Linotype" w:hAnsi="Palatino Linotype" w:cs="Arial"/>
          <w:sz w:val="24"/>
          <w:szCs w:val="24"/>
        </w:rPr>
        <w:t xml:space="preserve"> l</w:t>
      </w:r>
      <w:r w:rsidR="003837C2">
        <w:rPr>
          <w:rFonts w:ascii="Palatino Linotype" w:hAnsi="Palatino Linotype" w:cs="Arial"/>
          <w:sz w:val="24"/>
          <w:szCs w:val="24"/>
        </w:rPr>
        <w:t>a</w:t>
      </w:r>
      <w:r w:rsidR="00C06207">
        <w:rPr>
          <w:rFonts w:ascii="Palatino Linotype" w:hAnsi="Palatino Linotype" w:cs="Arial"/>
          <w:sz w:val="24"/>
          <w:szCs w:val="24"/>
        </w:rPr>
        <w:t>s</w:t>
      </w:r>
      <w:r w:rsidR="003837C2">
        <w:rPr>
          <w:rFonts w:ascii="Palatino Linotype" w:hAnsi="Palatino Linotype" w:cs="Arial"/>
          <w:sz w:val="24"/>
          <w:szCs w:val="24"/>
        </w:rPr>
        <w:t xml:space="preserve"> respuesta</w:t>
      </w:r>
      <w:r w:rsidR="00C06207">
        <w:rPr>
          <w:rFonts w:ascii="Palatino Linotype" w:hAnsi="Palatino Linotype" w:cs="Arial"/>
          <w:sz w:val="24"/>
          <w:szCs w:val="24"/>
        </w:rPr>
        <w:t>s</w:t>
      </w:r>
      <w:r w:rsidR="003837C2">
        <w:rPr>
          <w:rFonts w:ascii="Palatino Linotype" w:hAnsi="Palatino Linotype" w:cs="Arial"/>
          <w:sz w:val="24"/>
          <w:szCs w:val="24"/>
        </w:rPr>
        <w:t xml:space="preserve"> del </w:t>
      </w:r>
      <w:r w:rsidRPr="008E4128">
        <w:rPr>
          <w:rFonts w:ascii="Palatino Linotype" w:hAnsi="Palatino Linotype" w:cs="Arial"/>
          <w:b/>
          <w:sz w:val="24"/>
          <w:szCs w:val="24"/>
        </w:rPr>
        <w:t>SUJETO OBLIGADO</w:t>
      </w:r>
      <w:r w:rsidR="004148A3">
        <w:rPr>
          <w:rFonts w:ascii="Palatino Linotype" w:hAnsi="Palatino Linotype" w:cs="Arial"/>
          <w:sz w:val="24"/>
          <w:szCs w:val="24"/>
        </w:rPr>
        <w:t>;</w:t>
      </w:r>
      <w:r w:rsidR="003837C2">
        <w:rPr>
          <w:rFonts w:ascii="Palatino Linotype" w:hAnsi="Palatino Linotype" w:cs="Arial"/>
          <w:sz w:val="24"/>
          <w:szCs w:val="24"/>
        </w:rPr>
        <w:t xml:space="preserve">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w:t>
      </w:r>
      <w:r w:rsidR="004148A3">
        <w:rPr>
          <w:rFonts w:ascii="Palatino Linotype" w:hAnsi="Palatino Linotype" w:cs="Arial"/>
          <w:sz w:val="24"/>
          <w:szCs w:val="24"/>
        </w:rPr>
        <w:t>,</w:t>
      </w:r>
      <w:r w:rsidR="0046491C" w:rsidRPr="003837C2">
        <w:rPr>
          <w:rFonts w:ascii="Palatino Linotype" w:hAnsi="Palatino Linotype" w:cs="Arial"/>
          <w:sz w:val="24"/>
          <w:szCs w:val="24"/>
        </w:rPr>
        <w:t xml:space="preserve"> en diversas ocasiones</w:t>
      </w:r>
      <w:r w:rsidR="004148A3">
        <w:rPr>
          <w:rFonts w:ascii="Palatino Linotype" w:hAnsi="Palatino Linotype" w:cs="Arial"/>
          <w:sz w:val="24"/>
          <w:szCs w:val="24"/>
        </w:rPr>
        <w:t>,</w:t>
      </w:r>
      <w:r w:rsidR="0046491C" w:rsidRPr="003837C2">
        <w:rPr>
          <w:rFonts w:ascii="Palatino Linotype" w:hAnsi="Palatino Linotype" w:cs="Arial"/>
          <w:sz w:val="24"/>
          <w:szCs w:val="24"/>
        </w:rPr>
        <w:t xml:space="preserve"> que no deben invocarse en el derecho de acceso a la información pública.</w:t>
      </w:r>
    </w:p>
    <w:p w:rsidR="00EA2C08" w:rsidRPr="00EA2C08" w:rsidRDefault="00EA2C08" w:rsidP="00EA2C08">
      <w:pPr>
        <w:pStyle w:val="Prrafodelista"/>
        <w:rPr>
          <w:rFonts w:ascii="Palatino Linotype" w:hAnsi="Palatino Linotype" w:cs="Arial"/>
          <w:sz w:val="24"/>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270836"/>
      <w:r w:rsidRPr="0001046D">
        <w:rPr>
          <w:rFonts w:ascii="Palatino Linotype" w:hAnsi="Palatino Linotype"/>
          <w:b/>
          <w:color w:val="auto"/>
          <w:sz w:val="24"/>
          <w:szCs w:val="24"/>
        </w:rPr>
        <w:t xml:space="preserve">De los requerimientos planteados en </w:t>
      </w:r>
      <w:r w:rsidR="004A5486">
        <w:rPr>
          <w:rFonts w:ascii="Palatino Linotype" w:hAnsi="Palatino Linotype"/>
          <w:b/>
          <w:color w:val="auto"/>
          <w:sz w:val="24"/>
          <w:szCs w:val="24"/>
        </w:rPr>
        <w:t>los</w:t>
      </w:r>
      <w:r w:rsidRPr="0001046D">
        <w:rPr>
          <w:rFonts w:ascii="Palatino Linotype" w:hAnsi="Palatino Linotype"/>
          <w:b/>
          <w:color w:val="auto"/>
          <w:sz w:val="24"/>
          <w:szCs w:val="24"/>
        </w:rPr>
        <w:t xml:space="preserve"> recurso</w:t>
      </w:r>
      <w:r w:rsidR="004A5486">
        <w:rPr>
          <w:rFonts w:ascii="Palatino Linotype" w:hAnsi="Palatino Linotype"/>
          <w:b/>
          <w:color w:val="auto"/>
          <w:sz w:val="24"/>
          <w:szCs w:val="24"/>
        </w:rPr>
        <w:t>s</w:t>
      </w:r>
      <w:r w:rsidRPr="0001046D">
        <w:rPr>
          <w:rFonts w:ascii="Palatino Linotype" w:hAnsi="Palatino Linotype"/>
          <w:b/>
          <w:color w:val="auto"/>
          <w:sz w:val="24"/>
          <w:szCs w:val="24"/>
        </w:rPr>
        <w:t xml:space="preserve"> de revisión.</w:t>
      </w:r>
      <w:bookmarkEnd w:id="2"/>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5A4C79"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La</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w:t>
      </w:r>
      <w:r w:rsidR="008E4128">
        <w:rPr>
          <w:rFonts w:ascii="Palatino Linotype" w:hAnsi="Palatino Linotype" w:cs="Arial"/>
          <w:sz w:val="24"/>
          <w:szCs w:val="24"/>
        </w:rPr>
        <w:t xml:space="preserve"> </w:t>
      </w:r>
      <w:r w:rsidR="00413496" w:rsidRPr="00F25783">
        <w:rPr>
          <w:rFonts w:ascii="Palatino Linotype" w:hAnsi="Palatino Linotype" w:cs="Arial"/>
          <w:sz w:val="24"/>
          <w:szCs w:val="24"/>
        </w:rPr>
        <w:t>l</w:t>
      </w:r>
      <w:r w:rsidR="008E4128">
        <w:rPr>
          <w:rFonts w:ascii="Palatino Linotype" w:hAnsi="Palatino Linotype" w:cs="Arial"/>
          <w:sz w:val="24"/>
          <w:szCs w:val="24"/>
        </w:rPr>
        <w:t>a</w:t>
      </w:r>
      <w:r w:rsidR="00413496" w:rsidRPr="00F25783">
        <w:rPr>
          <w:rFonts w:ascii="Palatino Linotype" w:hAnsi="Palatino Linotype" w:cs="Arial"/>
          <w:sz w:val="24"/>
          <w:szCs w:val="24"/>
        </w:rPr>
        <w:t xml:space="preserve"> </w:t>
      </w:r>
      <w:r w:rsidR="008E4128">
        <w:rPr>
          <w:rFonts w:ascii="Palatino Linotype" w:hAnsi="Palatino Linotype" w:cs="Arial"/>
          <w:b/>
          <w:sz w:val="24"/>
          <w:szCs w:val="24"/>
        </w:rPr>
        <w:t>Universidad Politécnica del Valle de Toluca</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4148A3" w:rsidRDefault="004148A3" w:rsidP="00436B8D">
      <w:pPr>
        <w:ind w:left="567" w:right="616"/>
        <w:jc w:val="both"/>
        <w:rPr>
          <w:rFonts w:ascii="Palatino Linotype" w:hAnsi="Palatino Linotype" w:cs="Arial"/>
          <w:i/>
        </w:rPr>
      </w:pPr>
      <w:r w:rsidRPr="00924DBD">
        <w:rPr>
          <w:rFonts w:ascii="Palatino Linotype" w:hAnsi="Palatino Linotype" w:cs="Arial"/>
          <w:b/>
        </w:rPr>
        <w:t xml:space="preserve">01266/UPVT/IP/2018: </w:t>
      </w:r>
      <w:r w:rsidRPr="00924DBD">
        <w:rPr>
          <w:rFonts w:ascii="Palatino Linotype" w:hAnsi="Palatino Linotype" w:cs="Arial"/>
          <w:i/>
        </w:rPr>
        <w:t xml:space="preserve">“Histórico de oficios emitidos por el área de </w:t>
      </w:r>
      <w:proofErr w:type="spellStart"/>
      <w:r w:rsidRPr="00924DBD">
        <w:rPr>
          <w:rFonts w:ascii="Palatino Linotype" w:hAnsi="Palatino Linotype" w:cs="Arial"/>
          <w:i/>
        </w:rPr>
        <w:t>Rectoria</w:t>
      </w:r>
      <w:proofErr w:type="spellEnd"/>
      <w:r w:rsidRPr="00924DBD">
        <w:rPr>
          <w:rFonts w:ascii="Palatino Linotype" w:hAnsi="Palatino Linotype" w:cs="Arial"/>
          <w:i/>
        </w:rPr>
        <w:t xml:space="preserve"> y refiriéndose a quien fueron dirigidos, señalando asunto y copias de conocimiento que se generaron” (Sic)</w:t>
      </w:r>
    </w:p>
    <w:p w:rsidR="00C06207" w:rsidRDefault="00C06207" w:rsidP="00436B8D">
      <w:pPr>
        <w:ind w:left="567" w:right="616"/>
        <w:jc w:val="both"/>
        <w:rPr>
          <w:rFonts w:ascii="Palatino Linotype" w:hAnsi="Palatino Linotype" w:cs="Arial"/>
          <w:i/>
        </w:rPr>
      </w:pPr>
    </w:p>
    <w:p w:rsidR="00C06207" w:rsidRPr="00924DBD" w:rsidRDefault="00C06207" w:rsidP="00436B8D">
      <w:pPr>
        <w:ind w:left="567" w:right="616"/>
        <w:jc w:val="both"/>
        <w:rPr>
          <w:rFonts w:ascii="Palatino Linotype" w:hAnsi="Palatino Linotype" w:cs="Arial"/>
          <w:i/>
        </w:rPr>
      </w:pPr>
      <w:r w:rsidRPr="00924DBD">
        <w:rPr>
          <w:rFonts w:ascii="Palatino Linotype" w:hAnsi="Palatino Linotype" w:cs="Arial"/>
          <w:b/>
        </w:rPr>
        <w:t xml:space="preserve">01267/UPVT/IP/2018: </w:t>
      </w:r>
      <w:r w:rsidRPr="00924DBD">
        <w:rPr>
          <w:rFonts w:ascii="Palatino Linotype" w:hAnsi="Palatino Linotype" w:cs="Arial"/>
          <w:i/>
        </w:rPr>
        <w:t>“Histórico de oficios nombramientos a los integrantes del Comité de Transparencia, Ética y Prevención de Conflicto de Intereses, Mejora Regulatoria y Consejo de Calidad” (Sic)</w:t>
      </w:r>
    </w:p>
    <w:p w:rsidR="004148A3" w:rsidRPr="00924DBD" w:rsidRDefault="004148A3" w:rsidP="004148A3">
      <w:pPr>
        <w:ind w:left="567"/>
        <w:jc w:val="both"/>
        <w:rPr>
          <w:rFonts w:ascii="Palatino Linotype" w:hAnsi="Palatino Linotype" w:cs="Arial"/>
          <w:b/>
        </w:rPr>
      </w:pPr>
    </w:p>
    <w:p w:rsidR="00AE4797" w:rsidRPr="004148A3" w:rsidRDefault="00AE4797" w:rsidP="00EA2C08">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la</w:t>
      </w:r>
      <w:r w:rsidR="004148A3">
        <w:rPr>
          <w:rFonts w:ascii="Palatino Linotype" w:hAnsi="Palatino Linotype" w:cs="Arial"/>
          <w:sz w:val="24"/>
          <w:szCs w:val="24"/>
        </w:rPr>
        <w:t>s</w:t>
      </w:r>
      <w:r w:rsidR="009156AC">
        <w:rPr>
          <w:rFonts w:ascii="Palatino Linotype" w:hAnsi="Palatino Linotype" w:cs="Arial"/>
          <w:sz w:val="24"/>
          <w:szCs w:val="24"/>
        </w:rPr>
        <w:t xml:space="preserve"> </w:t>
      </w:r>
      <w:r>
        <w:rPr>
          <w:rFonts w:ascii="Palatino Linotype" w:hAnsi="Palatino Linotype" w:cs="Arial"/>
          <w:sz w:val="24"/>
          <w:szCs w:val="24"/>
        </w:rPr>
        <w:t>solicitud</w:t>
      </w:r>
      <w:r w:rsidR="004148A3">
        <w:rPr>
          <w:rFonts w:ascii="Palatino Linotype" w:hAnsi="Palatino Linotype" w:cs="Arial"/>
          <w:sz w:val="24"/>
          <w:szCs w:val="24"/>
        </w:rPr>
        <w:t>es</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4148A3" w:rsidRDefault="004148A3" w:rsidP="004148A3">
      <w:pPr>
        <w:spacing w:after="0" w:line="360" w:lineRule="auto"/>
        <w:jc w:val="both"/>
        <w:rPr>
          <w:rFonts w:ascii="Palatino Linotype" w:eastAsia="Times New Roman" w:hAnsi="Palatino Linotype" w:cs="Times New Roman"/>
          <w:i/>
          <w:sz w:val="24"/>
          <w:szCs w:val="24"/>
          <w:lang w:val="es-ES_tradnl" w:eastAsia="es-ES"/>
        </w:rPr>
      </w:pPr>
    </w:p>
    <w:p w:rsidR="006C1E90" w:rsidRPr="006C1E90" w:rsidRDefault="006C1E90" w:rsidP="006C1E90">
      <w:pPr>
        <w:ind w:left="567"/>
        <w:jc w:val="both"/>
        <w:rPr>
          <w:rFonts w:ascii="Palatino Linotype" w:hAnsi="Palatino Linotype" w:cs="Arial"/>
          <w:b/>
        </w:rPr>
      </w:pPr>
      <w:r w:rsidRPr="006C1E90">
        <w:rPr>
          <w:rFonts w:ascii="Palatino Linotype" w:hAnsi="Palatino Linotype" w:cs="Arial"/>
          <w:b/>
        </w:rPr>
        <w:t>Solicitud 0126</w:t>
      </w:r>
      <w:r>
        <w:rPr>
          <w:rFonts w:ascii="Palatino Linotype" w:hAnsi="Palatino Linotype" w:cs="Arial"/>
          <w:b/>
        </w:rPr>
        <w:t>6</w:t>
      </w:r>
      <w:r w:rsidRPr="006C1E90">
        <w:rPr>
          <w:rFonts w:ascii="Palatino Linotype" w:hAnsi="Palatino Linotype" w:cs="Arial"/>
          <w:b/>
        </w:rPr>
        <w:t xml:space="preserve">/UPVT/IP/2018: </w:t>
      </w:r>
    </w:p>
    <w:p w:rsidR="0095013C" w:rsidRPr="0095013C" w:rsidRDefault="0095013C" w:rsidP="00436B8D">
      <w:pPr>
        <w:pStyle w:val="Prrafodelista"/>
        <w:spacing w:after="0" w:line="360" w:lineRule="auto"/>
        <w:ind w:left="567" w:right="616"/>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r w:rsidRPr="0095013C">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5013C" w:rsidRPr="0095013C" w:rsidRDefault="0095013C" w:rsidP="00436B8D">
      <w:pPr>
        <w:pStyle w:val="Prrafodelista"/>
        <w:spacing w:after="0" w:line="360" w:lineRule="auto"/>
        <w:ind w:left="567" w:right="616"/>
        <w:jc w:val="both"/>
        <w:rPr>
          <w:rFonts w:ascii="Palatino Linotype" w:eastAsia="Times New Roman" w:hAnsi="Palatino Linotype" w:cs="Times New Roman"/>
          <w:i/>
          <w:szCs w:val="24"/>
          <w:lang w:eastAsia="es-ES"/>
        </w:rPr>
      </w:pPr>
      <w:r w:rsidRPr="0095013C">
        <w:rPr>
          <w:rFonts w:ascii="Palatino Linotype" w:eastAsia="Times New Roman" w:hAnsi="Palatino Linotype" w:cs="Times New Roman"/>
          <w:i/>
          <w:szCs w:val="24"/>
          <w:lang w:eastAsia="es-ES"/>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01266/UPVT/IP/2018, que realizó el 03 de octubre del año en curso, sírvase encontrar en archivo adjunto copia digitalizada en formato </w:t>
      </w:r>
      <w:proofErr w:type="spellStart"/>
      <w:r w:rsidRPr="0095013C">
        <w:rPr>
          <w:rFonts w:ascii="Palatino Linotype" w:eastAsia="Times New Roman" w:hAnsi="Palatino Linotype" w:cs="Times New Roman"/>
          <w:i/>
          <w:szCs w:val="24"/>
          <w:lang w:eastAsia="es-ES"/>
        </w:rPr>
        <w:t>pdf</w:t>
      </w:r>
      <w:proofErr w:type="spellEnd"/>
      <w:r w:rsidRPr="0095013C">
        <w:rPr>
          <w:rFonts w:ascii="Palatino Linotype" w:eastAsia="Times New Roman" w:hAnsi="Palatino Linotype" w:cs="Times New Roman"/>
          <w:i/>
          <w:szCs w:val="24"/>
          <w:lang w:eastAsia="es-ES"/>
        </w:rPr>
        <w:t xml:space="preserve"> del oficio emitido por el servidor público habilitado de Rectoría,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95013C" w:rsidRPr="0095013C" w:rsidRDefault="0095013C" w:rsidP="00436B8D">
      <w:pPr>
        <w:pStyle w:val="Prrafodelista"/>
        <w:spacing w:after="0" w:line="360" w:lineRule="auto"/>
        <w:ind w:left="567" w:right="616"/>
        <w:jc w:val="both"/>
        <w:rPr>
          <w:rFonts w:ascii="Palatino Linotype" w:eastAsia="Times New Roman" w:hAnsi="Palatino Linotype" w:cs="Times New Roman"/>
          <w:i/>
          <w:szCs w:val="24"/>
          <w:lang w:eastAsia="es-ES"/>
        </w:rPr>
      </w:pPr>
      <w:r w:rsidRPr="0095013C">
        <w:rPr>
          <w:rFonts w:ascii="Palatino Linotype" w:eastAsia="Times New Roman" w:hAnsi="Palatino Linotype" w:cs="Times New Roman"/>
          <w:i/>
          <w:szCs w:val="24"/>
          <w:lang w:eastAsia="es-ES"/>
        </w:rPr>
        <w:t>ATENTAMENTE</w:t>
      </w:r>
    </w:p>
    <w:p w:rsidR="00854C2E" w:rsidRDefault="0095013C" w:rsidP="00436B8D">
      <w:pPr>
        <w:pStyle w:val="Prrafodelista"/>
        <w:spacing w:after="0" w:line="360" w:lineRule="auto"/>
        <w:ind w:left="567" w:right="616"/>
        <w:jc w:val="both"/>
        <w:rPr>
          <w:rFonts w:ascii="Palatino Linotype" w:eastAsia="Times New Roman" w:hAnsi="Palatino Linotype" w:cs="Times New Roman"/>
          <w:i/>
          <w:szCs w:val="24"/>
          <w:lang w:eastAsia="es-ES"/>
        </w:rPr>
      </w:pPr>
      <w:r w:rsidRPr="0095013C">
        <w:rPr>
          <w:rFonts w:ascii="Palatino Linotype" w:eastAsia="Times New Roman" w:hAnsi="Palatino Linotype" w:cs="Times New Roman"/>
          <w:i/>
          <w:szCs w:val="24"/>
          <w:lang w:eastAsia="es-ES"/>
        </w:rPr>
        <w:lastRenderedPageBreak/>
        <w:t>LIC. GABRIELA AVILES OLIVARES</w:t>
      </w:r>
      <w:r>
        <w:rPr>
          <w:rFonts w:ascii="Palatino Linotype" w:eastAsia="Times New Roman" w:hAnsi="Palatino Linotype" w:cs="Times New Roman"/>
          <w:i/>
          <w:szCs w:val="24"/>
          <w:lang w:eastAsia="es-ES"/>
        </w:rPr>
        <w:t>”</w:t>
      </w:r>
    </w:p>
    <w:p w:rsidR="0095013C" w:rsidRPr="0095013C" w:rsidRDefault="0095013C" w:rsidP="0095013C">
      <w:pPr>
        <w:pStyle w:val="Prrafodelista"/>
        <w:spacing w:after="0" w:line="360" w:lineRule="auto"/>
        <w:ind w:left="567" w:right="49"/>
        <w:jc w:val="both"/>
        <w:rPr>
          <w:rFonts w:ascii="Palatino Linotype" w:eastAsia="Times New Roman" w:hAnsi="Palatino Linotype" w:cs="Times New Roman"/>
          <w:i/>
          <w:szCs w:val="24"/>
          <w:lang w:eastAsia="es-ES"/>
        </w:rPr>
      </w:pPr>
    </w:p>
    <w:p w:rsidR="00E35329" w:rsidRPr="00E35329" w:rsidRDefault="0095013C" w:rsidP="00854C2E">
      <w:pPr>
        <w:pStyle w:val="Prrafodelista"/>
        <w:numPr>
          <w:ilvl w:val="0"/>
          <w:numId w:val="15"/>
        </w:numPr>
        <w:spacing w:after="0" w:line="360" w:lineRule="auto"/>
        <w:ind w:left="567" w:right="49" w:hanging="283"/>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A dicha respuesta se anexaron dos archivos electrónicos, a través de los cuales</w:t>
      </w:r>
      <w:r w:rsidR="00644249">
        <w:rPr>
          <w:rFonts w:ascii="Palatino Linotype" w:eastAsia="Times New Roman" w:hAnsi="Palatino Linotype" w:cs="Times New Roman"/>
          <w:sz w:val="24"/>
          <w:szCs w:val="24"/>
          <w:lang w:val="es-ES_tradnl" w:eastAsia="es-ES"/>
        </w:rPr>
        <w:t xml:space="preserve"> la Secretaría de Rectoría y Servidor Público Habilitado, así como la Titular de la Unidad de Transparencia se pronunciaron respecto de la información </w:t>
      </w:r>
      <w:r>
        <w:rPr>
          <w:rFonts w:ascii="Palatino Linotype" w:eastAsia="Times New Roman" w:hAnsi="Palatino Linotype" w:cs="Times New Roman"/>
          <w:sz w:val="24"/>
          <w:szCs w:val="24"/>
          <w:lang w:val="es-ES_tradnl" w:eastAsia="es-ES"/>
        </w:rPr>
        <w:t xml:space="preserve">solicitada, sustancialmente, en hacer </w:t>
      </w:r>
      <w:r w:rsidR="00644249">
        <w:rPr>
          <w:rFonts w:ascii="Palatino Linotype" w:eastAsia="Times New Roman" w:hAnsi="Palatino Linotype" w:cs="Times New Roman"/>
          <w:sz w:val="24"/>
          <w:szCs w:val="24"/>
          <w:lang w:val="es-ES_tradnl" w:eastAsia="es-ES"/>
        </w:rPr>
        <w:t xml:space="preserve">del conocimiento que en los archivos de trámite y de concentración obran </w:t>
      </w:r>
      <w:r>
        <w:rPr>
          <w:rFonts w:ascii="Palatino Linotype" w:eastAsia="Times New Roman" w:hAnsi="Palatino Linotype" w:cs="Times New Roman"/>
          <w:sz w:val="24"/>
          <w:szCs w:val="24"/>
          <w:lang w:val="es-ES_tradnl" w:eastAsia="es-ES"/>
        </w:rPr>
        <w:t xml:space="preserve">físicamente los </w:t>
      </w:r>
      <w:r w:rsidR="00644249">
        <w:rPr>
          <w:rFonts w:ascii="Palatino Linotype" w:eastAsia="Times New Roman" w:hAnsi="Palatino Linotype" w:cs="Times New Roman"/>
          <w:sz w:val="24"/>
          <w:szCs w:val="24"/>
          <w:lang w:val="es-ES_tradnl" w:eastAsia="es-ES"/>
        </w:rPr>
        <w:t>oficios emitidos por Rectoría, en los cuales consta lo solicitado,</w:t>
      </w:r>
      <w:r w:rsidR="005A4C79">
        <w:rPr>
          <w:rFonts w:ascii="Palatino Linotype" w:eastAsia="Times New Roman" w:hAnsi="Palatino Linotype" w:cs="Times New Roman"/>
          <w:sz w:val="24"/>
          <w:szCs w:val="24"/>
          <w:lang w:val="es-ES_tradnl" w:eastAsia="es-ES"/>
        </w:rPr>
        <w:t xml:space="preserve"> desde enero del 2010 al 03 de octubre de 2018, lo cual asciende a una cantidad de 9,775 fojas, pero a causa de que la información no está digitalizada, </w:t>
      </w:r>
      <w:r>
        <w:rPr>
          <w:rFonts w:ascii="Palatino Linotype" w:eastAsia="Times New Roman" w:hAnsi="Palatino Linotype" w:cs="Times New Roman"/>
          <w:sz w:val="24"/>
          <w:szCs w:val="24"/>
          <w:lang w:val="es-ES_tradnl" w:eastAsia="es-ES"/>
        </w:rPr>
        <w:t xml:space="preserve">y esta </w:t>
      </w:r>
      <w:r w:rsidR="005A4C79">
        <w:rPr>
          <w:rFonts w:ascii="Palatino Linotype" w:eastAsia="Times New Roman" w:hAnsi="Palatino Linotype" w:cs="Times New Roman"/>
          <w:sz w:val="24"/>
          <w:szCs w:val="24"/>
          <w:lang w:val="es-ES_tradnl" w:eastAsia="es-ES"/>
        </w:rPr>
        <w:t xml:space="preserve">requiere ser verificada a efecto de constatar que la misma no se encuentre en algún supuesto de clasificación, </w:t>
      </w:r>
      <w:r>
        <w:rPr>
          <w:rFonts w:ascii="Palatino Linotype" w:eastAsia="Times New Roman" w:hAnsi="Palatino Linotype" w:cs="Times New Roman"/>
          <w:sz w:val="24"/>
          <w:szCs w:val="24"/>
          <w:lang w:val="es-ES_tradnl" w:eastAsia="es-ES"/>
        </w:rPr>
        <w:t>además de qu</w:t>
      </w:r>
      <w:r w:rsidR="005A4C79">
        <w:rPr>
          <w:rFonts w:ascii="Palatino Linotype" w:eastAsia="Times New Roman" w:hAnsi="Palatino Linotype" w:cs="Times New Roman"/>
          <w:sz w:val="24"/>
          <w:szCs w:val="24"/>
          <w:lang w:val="es-ES_tradnl" w:eastAsia="es-ES"/>
        </w:rPr>
        <w:t xml:space="preserve">e sobrepasa las capacidades humanas de las unidades administrativas, se </w:t>
      </w:r>
      <w:r>
        <w:rPr>
          <w:rFonts w:ascii="Palatino Linotype" w:eastAsia="Times New Roman" w:hAnsi="Palatino Linotype" w:cs="Times New Roman"/>
          <w:sz w:val="24"/>
          <w:szCs w:val="24"/>
          <w:lang w:val="es-ES_tradnl" w:eastAsia="es-ES"/>
        </w:rPr>
        <w:t xml:space="preserve">determinó poner a disposición </w:t>
      </w:r>
      <w:r w:rsidR="005A4C79">
        <w:rPr>
          <w:rFonts w:ascii="Palatino Linotype" w:eastAsia="Times New Roman" w:hAnsi="Palatino Linotype" w:cs="Times New Roman"/>
          <w:sz w:val="24"/>
          <w:szCs w:val="24"/>
          <w:lang w:val="es-ES_tradnl" w:eastAsia="es-ES"/>
        </w:rPr>
        <w:t xml:space="preserve">la información solicitada por la </w:t>
      </w:r>
      <w:r w:rsidR="005A4C79" w:rsidRPr="005A4C79">
        <w:rPr>
          <w:rFonts w:ascii="Palatino Linotype" w:eastAsia="Times New Roman" w:hAnsi="Palatino Linotype" w:cs="Times New Roman"/>
          <w:sz w:val="24"/>
          <w:szCs w:val="24"/>
          <w:lang w:val="es-ES_tradnl" w:eastAsia="es-ES"/>
        </w:rPr>
        <w:t>particular</w:t>
      </w:r>
      <w:r w:rsidR="005A4C79">
        <w:rPr>
          <w:rFonts w:ascii="Palatino Linotype" w:eastAsia="Times New Roman" w:hAnsi="Palatino Linotype" w:cs="Times New Roman"/>
          <w:b/>
          <w:sz w:val="24"/>
          <w:szCs w:val="24"/>
          <w:lang w:val="es-ES_tradnl" w:eastAsia="es-ES"/>
        </w:rPr>
        <w:t xml:space="preserve"> </w:t>
      </w:r>
      <w:r w:rsidR="005A4C79">
        <w:rPr>
          <w:rFonts w:ascii="Palatino Linotype" w:eastAsia="Times New Roman" w:hAnsi="Palatino Linotype" w:cs="Times New Roman"/>
          <w:sz w:val="24"/>
          <w:szCs w:val="24"/>
          <w:lang w:val="es-ES_tradnl" w:eastAsia="es-ES"/>
        </w:rPr>
        <w:t xml:space="preserve">en modalidad de consulta directa, indicando el procedimiento a seguir, para que se pueda tener acceso a </w:t>
      </w:r>
      <w:r>
        <w:rPr>
          <w:rFonts w:ascii="Palatino Linotype" w:eastAsia="Times New Roman" w:hAnsi="Palatino Linotype" w:cs="Times New Roman"/>
          <w:sz w:val="24"/>
          <w:szCs w:val="24"/>
          <w:lang w:val="es-ES_tradnl" w:eastAsia="es-ES"/>
        </w:rPr>
        <w:t>la misma</w:t>
      </w:r>
      <w:r w:rsidR="005A4C79">
        <w:rPr>
          <w:rFonts w:ascii="Palatino Linotype" w:eastAsia="Times New Roman" w:hAnsi="Palatino Linotype" w:cs="Times New Roman"/>
          <w:sz w:val="24"/>
          <w:szCs w:val="24"/>
          <w:lang w:val="es-ES_tradnl" w:eastAsia="es-ES"/>
        </w:rPr>
        <w:t>.</w:t>
      </w:r>
    </w:p>
    <w:p w:rsidR="009B4E7D" w:rsidRDefault="009B4E7D" w:rsidP="00675C07">
      <w:pPr>
        <w:spacing w:after="0" w:line="360" w:lineRule="auto"/>
        <w:ind w:right="616"/>
        <w:jc w:val="both"/>
        <w:rPr>
          <w:rFonts w:ascii="Palatino Linotype" w:eastAsia="Times New Roman" w:hAnsi="Palatino Linotype" w:cs="Times New Roman"/>
          <w:i/>
          <w:sz w:val="24"/>
          <w:szCs w:val="24"/>
          <w:lang w:val="es-ES_tradnl" w:eastAsia="es-ES"/>
        </w:rPr>
      </w:pPr>
    </w:p>
    <w:p w:rsidR="00675C07" w:rsidRDefault="00675C07" w:rsidP="00436B8D">
      <w:pPr>
        <w:ind w:left="567" w:right="616"/>
        <w:jc w:val="both"/>
        <w:rPr>
          <w:rFonts w:ascii="Palatino Linotype" w:hAnsi="Palatino Linotype" w:cs="Arial"/>
          <w:b/>
        </w:rPr>
      </w:pPr>
      <w:r w:rsidRPr="00924DBD">
        <w:rPr>
          <w:rFonts w:ascii="Palatino Linotype" w:hAnsi="Palatino Linotype" w:cs="Arial"/>
          <w:b/>
        </w:rPr>
        <w:t xml:space="preserve">Solicitud 01267/UPVT/IP/2018: </w:t>
      </w:r>
    </w:p>
    <w:p w:rsidR="00675C07" w:rsidRPr="00B02A47" w:rsidRDefault="00675C07" w:rsidP="00436B8D">
      <w:pPr>
        <w:ind w:left="567" w:right="616"/>
        <w:jc w:val="both"/>
        <w:rPr>
          <w:rFonts w:ascii="Palatino Linotype" w:hAnsi="Palatino Linotype" w:cs="Arial"/>
          <w:i/>
        </w:rPr>
      </w:pPr>
      <w:r>
        <w:rPr>
          <w:rFonts w:ascii="Palatino Linotype" w:hAnsi="Palatino Linotype" w:cs="Arial"/>
          <w:i/>
        </w:rPr>
        <w:t>“</w:t>
      </w:r>
      <w:r w:rsidRPr="00B02A4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75C07" w:rsidRPr="00B02A47" w:rsidRDefault="00675C07" w:rsidP="00436B8D">
      <w:pPr>
        <w:ind w:left="567" w:right="616"/>
        <w:jc w:val="both"/>
        <w:rPr>
          <w:rFonts w:ascii="Palatino Linotype" w:hAnsi="Palatino Linotype" w:cs="Arial"/>
          <w:i/>
        </w:rPr>
      </w:pPr>
      <w:r w:rsidRPr="00B02A47">
        <w:rPr>
          <w:rFonts w:ascii="Palatino Linotype" w:hAnsi="Palatino Linotype" w:cs="Arial"/>
          <w:i/>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01267/UPVT/IP/2018, que realizó el 3 de octubre del año </w:t>
      </w:r>
      <w:r w:rsidRPr="00B02A47">
        <w:rPr>
          <w:rFonts w:ascii="Palatino Linotype" w:hAnsi="Palatino Linotype" w:cs="Arial"/>
          <w:i/>
        </w:rPr>
        <w:lastRenderedPageBreak/>
        <w:t xml:space="preserve">en curso, sírvase encontrar en archivo adjunto copia digitalizada en formato </w:t>
      </w:r>
      <w:proofErr w:type="spellStart"/>
      <w:r w:rsidRPr="00B02A47">
        <w:rPr>
          <w:rFonts w:ascii="Palatino Linotype" w:hAnsi="Palatino Linotype" w:cs="Arial"/>
          <w:i/>
        </w:rPr>
        <w:t>pdf</w:t>
      </w:r>
      <w:proofErr w:type="spellEnd"/>
      <w:r w:rsidRPr="00B02A47">
        <w:rPr>
          <w:rFonts w:ascii="Palatino Linotype" w:hAnsi="Palatino Linotype" w:cs="Arial"/>
          <w:i/>
        </w:rPr>
        <w:t xml:space="preserve"> del oficio emitido por los servidores públicos habilitados de la Dirección de Planeación y Vinculación, Dirección de División de Ingeniería Industrial, y el Departamento de Información, Planeación, Programación y Evaluación,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675C07" w:rsidRPr="00B02A47" w:rsidRDefault="00675C07" w:rsidP="00436B8D">
      <w:pPr>
        <w:ind w:left="567" w:right="616"/>
        <w:jc w:val="both"/>
        <w:rPr>
          <w:rFonts w:ascii="Palatino Linotype" w:hAnsi="Palatino Linotype" w:cs="Arial"/>
          <w:i/>
        </w:rPr>
      </w:pPr>
      <w:r w:rsidRPr="00B02A47">
        <w:rPr>
          <w:rFonts w:ascii="Palatino Linotype" w:hAnsi="Palatino Linotype" w:cs="Arial"/>
          <w:i/>
        </w:rPr>
        <w:t>ATENTAMENTE</w:t>
      </w:r>
    </w:p>
    <w:p w:rsidR="00675C07" w:rsidRPr="00B02A47" w:rsidRDefault="00675C07" w:rsidP="00436B8D">
      <w:pPr>
        <w:ind w:left="567" w:right="616"/>
        <w:jc w:val="both"/>
        <w:rPr>
          <w:rFonts w:ascii="Palatino Linotype" w:hAnsi="Palatino Linotype" w:cs="Arial"/>
          <w:i/>
        </w:rPr>
      </w:pPr>
      <w:r w:rsidRPr="00B02A47">
        <w:rPr>
          <w:rFonts w:ascii="Palatino Linotype" w:hAnsi="Palatino Linotype" w:cs="Arial"/>
          <w:i/>
        </w:rPr>
        <w:t>LIC. GABRIELA AVILES OLIVARES</w:t>
      </w:r>
      <w:r>
        <w:rPr>
          <w:rFonts w:ascii="Palatino Linotype" w:hAnsi="Palatino Linotype" w:cs="Arial"/>
          <w:i/>
        </w:rPr>
        <w:t>”</w:t>
      </w:r>
    </w:p>
    <w:p w:rsidR="00675C07" w:rsidRPr="00924DBD" w:rsidRDefault="00675C07" w:rsidP="00675C07">
      <w:pPr>
        <w:ind w:left="567"/>
        <w:jc w:val="both"/>
        <w:rPr>
          <w:rFonts w:ascii="Palatino Linotype" w:hAnsi="Palatino Linotype" w:cs="Arial"/>
          <w:i/>
        </w:rPr>
      </w:pPr>
    </w:p>
    <w:p w:rsidR="00675C07" w:rsidRPr="00A57BE6" w:rsidRDefault="00675C07" w:rsidP="00436B8D">
      <w:pPr>
        <w:pStyle w:val="Prrafodelista"/>
        <w:numPr>
          <w:ilvl w:val="0"/>
          <w:numId w:val="16"/>
        </w:numPr>
        <w:spacing w:after="0" w:line="360" w:lineRule="auto"/>
        <w:ind w:left="567" w:hanging="283"/>
        <w:jc w:val="both"/>
        <w:rPr>
          <w:rFonts w:ascii="Palatino Linotype" w:eastAsia="Times New Roman" w:hAnsi="Palatino Linotype" w:cs="Times New Roman"/>
          <w:b/>
          <w:i/>
          <w:sz w:val="24"/>
          <w:szCs w:val="24"/>
          <w:lang w:val="es-ES_tradnl" w:eastAsia="es-ES"/>
        </w:rPr>
      </w:pPr>
      <w:r w:rsidRPr="00A57BE6">
        <w:rPr>
          <w:rFonts w:ascii="Palatino Linotype" w:eastAsia="Times New Roman" w:hAnsi="Palatino Linotype" w:cs="Times New Roman"/>
          <w:sz w:val="24"/>
          <w:szCs w:val="24"/>
          <w:lang w:val="es-ES_tradnl" w:eastAsia="es-ES"/>
        </w:rPr>
        <w:t xml:space="preserve">A dicha respuesta se anexaron diversos archivos electrónicos a través de los cuales, las distintas Direcciones se pronunciaron respecto de la información solicitada, en términos generales haciendo entrega de: un oficio en el cual se explica la integración del Comité Interno de Mejora Continua citando el artículo cuarto de los Lineamientos para la operación y funcionamiento del Comité Interno de Mejora Regulatoria, en el cual a su vez se aprecia una tabla </w:t>
      </w:r>
      <w:r w:rsidRPr="00A57BE6">
        <w:rPr>
          <w:rFonts w:ascii="Palatino Linotype" w:hAnsi="Palatino Linotype" w:cs="Arial"/>
        </w:rPr>
        <w:t>con tres columnas con rubros (nombre, cargo e integrante del comité de mejora continua)</w:t>
      </w:r>
      <w:r>
        <w:rPr>
          <w:rFonts w:ascii="Palatino Linotype" w:hAnsi="Palatino Linotype" w:cs="Arial"/>
        </w:rPr>
        <w:t>,</w:t>
      </w:r>
      <w:r w:rsidRPr="00A57BE6">
        <w:rPr>
          <w:rFonts w:ascii="Palatino Linotype" w:hAnsi="Palatino Linotype" w:cs="Arial"/>
        </w:rPr>
        <w:t xml:space="preserve"> y nueve filas con los nombres de los servidores públicos integrantes;</w:t>
      </w:r>
      <w:r w:rsidRPr="00A57BE6">
        <w:rPr>
          <w:rFonts w:ascii="Palatino Linotype" w:eastAsia="Times New Roman" w:hAnsi="Palatino Linotype" w:cs="Times New Roman"/>
          <w:sz w:val="24"/>
          <w:szCs w:val="24"/>
          <w:lang w:val="es-ES_tradnl" w:eastAsia="es-ES"/>
        </w:rPr>
        <w:t xml:space="preserve"> oficios dirigidos a diversos servidores públicos para que form</w:t>
      </w:r>
      <w:r>
        <w:rPr>
          <w:rFonts w:ascii="Palatino Linotype" w:eastAsia="Times New Roman" w:hAnsi="Palatino Linotype" w:cs="Times New Roman"/>
          <w:sz w:val="24"/>
          <w:szCs w:val="24"/>
          <w:lang w:val="es-ES_tradnl" w:eastAsia="es-ES"/>
        </w:rPr>
        <w:t>en</w:t>
      </w:r>
      <w:r w:rsidRPr="00A57BE6">
        <w:rPr>
          <w:rFonts w:ascii="Palatino Linotype" w:eastAsia="Times New Roman" w:hAnsi="Palatino Linotype" w:cs="Times New Roman"/>
          <w:sz w:val="24"/>
          <w:szCs w:val="24"/>
          <w:lang w:val="es-ES_tradnl" w:eastAsia="es-ES"/>
        </w:rPr>
        <w:t xml:space="preserve"> parte del Consejo de Calidad como representante del personal académico; oficios de designación de los integrantes del Comité de Transparencia; oficios en los que se solicita la autorización de la integración del Comité de Ética y Prevención de Conflicto de Intereses; oficio de autorización de la Conformación del Comité de Ética en mérito; oficios de solicitud para nuevas designaciones y sustituciones de personal que formara parte del Comité de Ética en mención; así como tabla de </w:t>
      </w:r>
      <w:r w:rsidRPr="00A57BE6">
        <w:rPr>
          <w:rFonts w:ascii="Palatino Linotype" w:eastAsia="Times New Roman" w:hAnsi="Palatino Linotype" w:cs="Times New Roman"/>
          <w:sz w:val="24"/>
          <w:szCs w:val="24"/>
          <w:lang w:val="es-ES_tradnl" w:eastAsia="es-ES"/>
        </w:rPr>
        <w:lastRenderedPageBreak/>
        <w:t>la conformación de dicho Comité, de cuatro columnas, en cuyos rubros se contemplan: No., Nivel Jerárquico o Equivalente, Servidor Público y Puesto, con ocho registros que contemplan la información.</w:t>
      </w:r>
    </w:p>
    <w:p w:rsidR="00C06207" w:rsidRDefault="00C06207" w:rsidP="00C06207">
      <w:pPr>
        <w:pStyle w:val="Prrafodelista"/>
        <w:spacing w:before="240" w:after="240" w:line="360" w:lineRule="auto"/>
        <w:ind w:left="0"/>
        <w:jc w:val="both"/>
        <w:rPr>
          <w:rFonts w:ascii="Palatino Linotype" w:hAnsi="Palatino Linotype" w:cs="Arial"/>
          <w:sz w:val="24"/>
          <w:szCs w:val="24"/>
        </w:rPr>
      </w:pPr>
    </w:p>
    <w:p w:rsidR="0094239C" w:rsidRPr="00AA7B27" w:rsidRDefault="0046491C"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sidRPr="00AA7B27">
        <w:rPr>
          <w:rFonts w:ascii="Palatino Linotype" w:hAnsi="Palatino Linotype" w:cs="Arial"/>
          <w:sz w:val="24"/>
          <w:szCs w:val="24"/>
        </w:rPr>
        <w:t>En ese sentido,</w:t>
      </w:r>
      <w:r w:rsidRPr="00AA7B27">
        <w:rPr>
          <w:rFonts w:ascii="Palatino Linotype" w:hAnsi="Palatino Linotype" w:cs="Arial"/>
          <w:b/>
          <w:sz w:val="24"/>
          <w:szCs w:val="24"/>
        </w:rPr>
        <w:t xml:space="preserve"> </w:t>
      </w:r>
      <w:r w:rsidR="005A4C79" w:rsidRPr="00AA7B27">
        <w:rPr>
          <w:rFonts w:ascii="Palatino Linotype" w:hAnsi="Palatino Linotype" w:cs="Arial"/>
          <w:sz w:val="24"/>
          <w:szCs w:val="24"/>
        </w:rPr>
        <w:t>la</w:t>
      </w:r>
      <w:r w:rsidR="00AE4797" w:rsidRPr="00AA7B27">
        <w:rPr>
          <w:rFonts w:ascii="Palatino Linotype" w:hAnsi="Palatino Linotype" w:cs="Arial"/>
          <w:sz w:val="24"/>
          <w:szCs w:val="24"/>
        </w:rPr>
        <w:t xml:space="preserve"> </w:t>
      </w:r>
      <w:r w:rsidR="00E30CD7" w:rsidRPr="00AA7B27">
        <w:rPr>
          <w:rFonts w:ascii="Palatino Linotype" w:hAnsi="Palatino Linotype" w:cs="Arial"/>
          <w:b/>
          <w:sz w:val="24"/>
          <w:szCs w:val="24"/>
        </w:rPr>
        <w:t>RECURRENTE</w:t>
      </w:r>
      <w:r w:rsidR="005F3760" w:rsidRPr="00AA7B27">
        <w:rPr>
          <w:rFonts w:ascii="Palatino Linotype" w:hAnsi="Palatino Linotype" w:cs="Arial"/>
          <w:sz w:val="24"/>
          <w:szCs w:val="24"/>
        </w:rPr>
        <w:t xml:space="preserve"> en sus motivos de inconformidad, ya no se duele por la totalidad de la información que le fue proporcionada, se queja únicamente</w:t>
      </w:r>
      <w:r w:rsidR="005C79C8" w:rsidRPr="00AA7B27">
        <w:rPr>
          <w:rFonts w:ascii="Palatino Linotype" w:hAnsi="Palatino Linotype" w:cs="Arial"/>
          <w:sz w:val="24"/>
          <w:szCs w:val="24"/>
        </w:rPr>
        <w:t xml:space="preserve"> </w:t>
      </w:r>
      <w:r w:rsidR="00FB7887" w:rsidRPr="00AA7B27">
        <w:rPr>
          <w:rFonts w:ascii="Palatino Linotype" w:hAnsi="Palatino Linotype" w:cs="Arial"/>
          <w:sz w:val="24"/>
          <w:szCs w:val="24"/>
        </w:rPr>
        <w:t>por</w:t>
      </w:r>
      <w:r w:rsidR="00AA7B27" w:rsidRPr="00AA7B27">
        <w:rPr>
          <w:rFonts w:ascii="Palatino Linotype" w:hAnsi="Palatino Linotype"/>
          <w:sz w:val="24"/>
          <w:szCs w:val="24"/>
        </w:rPr>
        <w:t xml:space="preserve"> la omisión en el otorgamiento de los nombramientos del Comité de Ética y Mejora Regulatoria.</w:t>
      </w:r>
    </w:p>
    <w:p w:rsidR="00444048" w:rsidRPr="0001046D" w:rsidRDefault="00444048" w:rsidP="00444048">
      <w:pPr>
        <w:pStyle w:val="Prrafodelista"/>
        <w:spacing w:before="240" w:after="240" w:line="360" w:lineRule="auto"/>
        <w:ind w:left="360"/>
        <w:jc w:val="both"/>
        <w:rPr>
          <w:rFonts w:ascii="Palatino Linotype" w:hAnsi="Palatino Linotype" w:cs="Arial"/>
          <w:sz w:val="24"/>
          <w:szCs w:val="24"/>
        </w:rPr>
      </w:pPr>
    </w:p>
    <w:p w:rsidR="0046491C" w:rsidRDefault="005C79C8"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atiende </w:t>
      </w:r>
      <w:r w:rsidR="00997A9C">
        <w:rPr>
          <w:rFonts w:ascii="Palatino Linotype" w:hAnsi="Palatino Linotype" w:cs="Arial"/>
          <w:sz w:val="24"/>
          <w:szCs w:val="24"/>
        </w:rPr>
        <w:t xml:space="preserve">ambas </w:t>
      </w:r>
      <w:r w:rsidR="005F3760">
        <w:rPr>
          <w:rFonts w:ascii="Palatino Linotype" w:hAnsi="Palatino Linotype" w:cs="Arial"/>
          <w:sz w:val="24"/>
          <w:szCs w:val="24"/>
        </w:rPr>
        <w:t>solicitud</w:t>
      </w:r>
      <w:r w:rsidR="00997A9C">
        <w:rPr>
          <w:rFonts w:ascii="Palatino Linotype" w:hAnsi="Palatino Linotype" w:cs="Arial"/>
          <w:sz w:val="24"/>
          <w:szCs w:val="24"/>
        </w:rPr>
        <w:t>es</w:t>
      </w:r>
      <w:r w:rsidR="005F3760">
        <w:rPr>
          <w:rFonts w:ascii="Palatino Linotype" w:hAnsi="Palatino Linotype" w:cs="Arial"/>
          <w:sz w:val="24"/>
          <w:szCs w:val="24"/>
        </w:rPr>
        <w:t xml:space="preserve"> de forma parcial</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997A9C" w:rsidRPr="00997A9C" w:rsidRDefault="00997A9C" w:rsidP="00997A9C">
      <w:pPr>
        <w:pStyle w:val="Prrafodelista"/>
        <w:rPr>
          <w:rFonts w:ascii="Palatino Linotype" w:hAnsi="Palatino Linotype" w:cs="Arial"/>
          <w:sz w:val="24"/>
          <w:szCs w:val="24"/>
        </w:rPr>
      </w:pPr>
    </w:p>
    <w:p w:rsidR="00997A9C" w:rsidRPr="00983F08" w:rsidRDefault="00997A9C" w:rsidP="004A5486">
      <w:pPr>
        <w:pStyle w:val="Prrafodelista"/>
        <w:spacing w:before="240" w:after="240" w:line="360" w:lineRule="auto"/>
        <w:ind w:left="567" w:right="616"/>
        <w:jc w:val="both"/>
        <w:rPr>
          <w:rFonts w:ascii="Palatino Linotype" w:hAnsi="Palatino Linotype"/>
          <w:i/>
        </w:rPr>
      </w:pPr>
      <w:r w:rsidRPr="00983F08">
        <w:rPr>
          <w:rFonts w:ascii="Palatino Linotype" w:hAnsi="Palatino Linotype"/>
          <w:i/>
        </w:rPr>
        <w:t xml:space="preserve">“(…) el </w:t>
      </w:r>
      <w:r w:rsidRPr="00983F08">
        <w:rPr>
          <w:rFonts w:ascii="Palatino Linotype" w:hAnsi="Palatino Linotype"/>
          <w:b/>
          <w:i/>
        </w:rPr>
        <w:t>SUJETO OBLIGADO</w:t>
      </w:r>
      <w:r w:rsidRPr="00983F08">
        <w:rPr>
          <w:rFonts w:ascii="Palatino Linotype" w:hAnsi="Palatino Linotype"/>
          <w:i/>
        </w:rPr>
        <w:t xml:space="preserve"> en respuesta otorgó información relacionada con cada uno de los Comités y el Consejo citados, por lo que el </w:t>
      </w:r>
      <w:r w:rsidRPr="00983F08">
        <w:rPr>
          <w:rFonts w:ascii="Palatino Linotype" w:hAnsi="Palatino Linotype"/>
          <w:b/>
          <w:i/>
        </w:rPr>
        <w:t>RECURRENTE</w:t>
      </w:r>
      <w:r w:rsidRPr="00983F08">
        <w:rPr>
          <w:rFonts w:ascii="Palatino Linotype" w:hAnsi="Palatino Linotype"/>
          <w:i/>
        </w:rPr>
        <w:t xml:space="preserve"> se inconformó únicamente por la omisión en el otorgamiento de los nombramientos del Comité de Ética y Mejora Regulatoria, no así por lo que hace a la expedición de los nombramientos de los servidores públicos integrantes del Comité de Transparencia y la información proporcionada relacionada con el Consejo de Calidad.  </w:t>
      </w:r>
    </w:p>
    <w:p w:rsidR="00983F08" w:rsidRPr="00983F08" w:rsidRDefault="00983F08" w:rsidP="004A5486">
      <w:pPr>
        <w:pStyle w:val="Prrafodelista"/>
        <w:spacing w:before="240" w:after="240" w:line="360" w:lineRule="auto"/>
        <w:ind w:left="567" w:right="616"/>
        <w:jc w:val="both"/>
        <w:rPr>
          <w:rFonts w:ascii="Palatino Linotype" w:hAnsi="Palatino Linotype"/>
          <w:i/>
        </w:rPr>
      </w:pPr>
    </w:p>
    <w:p w:rsidR="00997A9C" w:rsidRPr="00983F08" w:rsidRDefault="00997A9C" w:rsidP="004A5486">
      <w:pPr>
        <w:pStyle w:val="Prrafodelista"/>
        <w:spacing w:before="240" w:after="240" w:line="360" w:lineRule="auto"/>
        <w:ind w:left="567" w:right="616"/>
        <w:jc w:val="both"/>
        <w:rPr>
          <w:rFonts w:ascii="Palatino Linotype" w:hAnsi="Palatino Linotype"/>
          <w:i/>
        </w:rPr>
      </w:pPr>
      <w:r w:rsidRPr="00983F08">
        <w:rPr>
          <w:rFonts w:ascii="Palatino Linotype" w:hAnsi="Palatino Linotype"/>
          <w:i/>
        </w:rPr>
        <w:t xml:space="preserve">De lo anterior, se colige en primer lugar, que los nombramientos a los que pretende tener acceso la peticionaria, son los </w:t>
      </w:r>
      <w:r w:rsidRPr="00983F08">
        <w:rPr>
          <w:rFonts w:ascii="Palatino Linotype" w:hAnsi="Palatino Linotype"/>
          <w:b/>
          <w:i/>
        </w:rPr>
        <w:t>oficios de designación</w:t>
      </w:r>
      <w:r w:rsidRPr="00983F08">
        <w:rPr>
          <w:rFonts w:ascii="Palatino Linotype" w:hAnsi="Palatino Linotype"/>
          <w:i/>
        </w:rPr>
        <w:t xml:space="preserve"> de los servidores públicos integrantes de cada Comité solicitado, pues se reitera, respecto a los oficios otorgados y </w:t>
      </w:r>
      <w:r w:rsidRPr="00983F08">
        <w:rPr>
          <w:rFonts w:ascii="Palatino Linotype" w:hAnsi="Palatino Linotype"/>
          <w:i/>
        </w:rPr>
        <w:lastRenderedPageBreak/>
        <w:t xml:space="preserve">relacionados con el Comité de Transparencia y la información proporcionada en el caso del Consejo de Calidad, no fueron impugnados, es decir, no se inconformó respecto de dicha información, </w:t>
      </w:r>
      <w:r w:rsidRPr="00983F08">
        <w:rPr>
          <w:rFonts w:ascii="Palatino Linotype" w:hAnsi="Palatino Linotype" w:cs="Arial"/>
          <w:i/>
        </w:rPr>
        <w:t xml:space="preserve">por lo que en todo caso, </w:t>
      </w:r>
      <w:r w:rsidRPr="00983F08">
        <w:rPr>
          <w:rFonts w:ascii="Palatino Linotype" w:hAnsi="Palatino Linotype"/>
          <w:i/>
        </w:rPr>
        <w:t xml:space="preserve">los puntos en comento deben declararse atendidos, pues se entiende que la particular está conforme con la información entregada al no controvertirlos. </w:t>
      </w:r>
    </w:p>
    <w:p w:rsidR="00997A9C" w:rsidRPr="00983F08" w:rsidRDefault="00997A9C" w:rsidP="004A5486">
      <w:pPr>
        <w:pStyle w:val="Prrafodelista"/>
        <w:spacing w:before="240" w:after="240" w:line="360" w:lineRule="auto"/>
        <w:ind w:left="567" w:right="616"/>
        <w:jc w:val="both"/>
        <w:rPr>
          <w:rFonts w:ascii="Palatino Linotype" w:hAnsi="Palatino Linotype"/>
          <w:i/>
        </w:rPr>
      </w:pPr>
    </w:p>
    <w:p w:rsidR="00997A9C" w:rsidRPr="00983F08" w:rsidRDefault="00997A9C" w:rsidP="004A5486">
      <w:pPr>
        <w:pStyle w:val="Prrafodelista"/>
        <w:spacing w:before="240" w:after="240" w:line="360" w:lineRule="auto"/>
        <w:ind w:left="567" w:right="616"/>
        <w:jc w:val="both"/>
        <w:rPr>
          <w:rFonts w:ascii="Palatino Linotype" w:hAnsi="Palatino Linotype"/>
          <w:i/>
        </w:rPr>
      </w:pPr>
      <w:r w:rsidRPr="00983F08">
        <w:rPr>
          <w:rFonts w:ascii="Palatino Linotype" w:hAnsi="Palatino Linotype"/>
          <w:i/>
        </w:rPr>
        <w:t>Sirve de apoyo a lo anterior, por analogía, la Tesis Jurisprudencial Número 3ª./J.7/91, publicada en el Semanario Judicial de la Federación y su Gaceta bajo el número de registro 174,177, que establece lo siguiente:</w:t>
      </w:r>
    </w:p>
    <w:p w:rsidR="00997A9C" w:rsidRPr="00983F08" w:rsidRDefault="00997A9C" w:rsidP="004A5486">
      <w:pPr>
        <w:pStyle w:val="Prrafodelista"/>
        <w:spacing w:before="240" w:after="240" w:line="360" w:lineRule="auto"/>
        <w:ind w:left="567" w:right="616"/>
        <w:jc w:val="both"/>
        <w:rPr>
          <w:rFonts w:ascii="Palatino Linotype" w:hAnsi="Palatino Linotype"/>
          <w:i/>
        </w:rPr>
      </w:pPr>
    </w:p>
    <w:p w:rsidR="00997A9C" w:rsidRPr="00983F08" w:rsidRDefault="00997A9C" w:rsidP="004A5486">
      <w:pPr>
        <w:pStyle w:val="Prrafodelista"/>
        <w:spacing w:line="360" w:lineRule="auto"/>
        <w:ind w:left="851" w:right="900"/>
        <w:jc w:val="both"/>
        <w:rPr>
          <w:rFonts w:ascii="Palatino Linotype" w:hAnsi="Palatino Linotype"/>
          <w:i/>
        </w:rPr>
      </w:pPr>
      <w:r w:rsidRPr="00983F08">
        <w:rPr>
          <w:rFonts w:ascii="Palatino Linotype" w:hAnsi="Palatino Linotype"/>
          <w:i/>
        </w:rPr>
        <w:t>“</w:t>
      </w:r>
      <w:r w:rsidRPr="00983F08">
        <w:rPr>
          <w:rFonts w:ascii="Palatino Linotype" w:hAnsi="Palatino Linotype"/>
          <w:b/>
          <w:i/>
        </w:rPr>
        <w:t>REVISIÓN EN AMPARO. LOS RESOLUTIVOS NO COMBATIDOS DEBEN DECLARARSE FIRMES</w:t>
      </w:r>
      <w:r w:rsidRPr="00983F08">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97A9C" w:rsidRPr="00983F08" w:rsidRDefault="00997A9C" w:rsidP="004A5486">
      <w:pPr>
        <w:pStyle w:val="Prrafodelista"/>
        <w:spacing w:line="360" w:lineRule="auto"/>
        <w:ind w:left="567" w:right="616"/>
        <w:jc w:val="both"/>
        <w:rPr>
          <w:rFonts w:ascii="Palatino Linotype" w:hAnsi="Palatino Linotype"/>
          <w:i/>
        </w:rPr>
      </w:pPr>
    </w:p>
    <w:p w:rsidR="00997A9C" w:rsidRPr="00983F08" w:rsidRDefault="00997A9C" w:rsidP="004A5486">
      <w:pPr>
        <w:pStyle w:val="Prrafodelista"/>
        <w:spacing w:before="240" w:after="240" w:line="360" w:lineRule="auto"/>
        <w:ind w:left="567" w:right="616"/>
        <w:jc w:val="both"/>
        <w:rPr>
          <w:rFonts w:ascii="Palatino Linotype" w:hAnsi="Palatino Linotype"/>
          <w:i/>
        </w:rPr>
      </w:pPr>
      <w:r w:rsidRPr="00983F08">
        <w:rPr>
          <w:rFonts w:ascii="Palatino Linotype" w:hAnsi="Palatino Linotype"/>
          <w:i/>
        </w:rPr>
        <w:t xml:space="preserve">Así, la parte de la solicitud que no fue impugnada debe declararse consentida por la </w:t>
      </w:r>
      <w:r w:rsidRPr="00983F08">
        <w:rPr>
          <w:rFonts w:ascii="Palatino Linotype" w:hAnsi="Palatino Linotype"/>
          <w:b/>
          <w:i/>
        </w:rPr>
        <w:t>RECURRENTE</w:t>
      </w:r>
      <w:r w:rsidRPr="00983F08">
        <w:rPr>
          <w:rFonts w:ascii="Palatino Linotype" w:hAnsi="Palatino Linotype"/>
          <w:i/>
        </w:rPr>
        <w:t xml:space="preserve">, toda vez que no se realizaron manifestaciones de inconformidad, por lo que no pueden producir efectos jurídicos tendentes a revocar, confirmar o modificar el acto reclamado, toda vez que en la Ley Local que rige la materia, no existe dispositivo que permita a este Órgano Garante estudiar lo no combatido por los recurrentes, pues </w:t>
      </w:r>
      <w:r w:rsidRPr="00983F08">
        <w:rPr>
          <w:rFonts w:ascii="Palatino Linotype" w:hAnsi="Palatino Linotype"/>
          <w:i/>
        </w:rPr>
        <w:lastRenderedPageBreak/>
        <w:t xml:space="preserve">se entiende que éstos al interponer sus recursos de revisión, lo hacen con el fin de exponer los agravios que se han cometido en su perjuicio,  contrariamente, lo no expuesto se presume que no causa agravio a su persona. </w:t>
      </w:r>
    </w:p>
    <w:p w:rsidR="00997A9C" w:rsidRPr="00983F08" w:rsidRDefault="00997A9C" w:rsidP="004A5486">
      <w:pPr>
        <w:pStyle w:val="Prrafodelista"/>
        <w:spacing w:before="240" w:after="240" w:line="360" w:lineRule="auto"/>
        <w:ind w:left="567" w:right="616"/>
        <w:jc w:val="both"/>
        <w:rPr>
          <w:rFonts w:ascii="Palatino Linotype" w:hAnsi="Palatino Linotype"/>
          <w:i/>
        </w:rPr>
      </w:pPr>
      <w:r w:rsidRPr="00983F08">
        <w:rPr>
          <w:rFonts w:ascii="Palatino Linotype" w:hAnsi="Palatino Linotype"/>
          <w:i/>
        </w:rPr>
        <w:t>Sirve de sustento a lo anterior, por analogía, la tesis jurisprudencial número VI.3o.C. J/60, publicada en el Semanario Judicial de la Federación y su Gaceta bajo el número de registro 176,608 que a la letra dice:</w:t>
      </w:r>
    </w:p>
    <w:p w:rsidR="00983F08" w:rsidRPr="00983F08" w:rsidRDefault="00983F08" w:rsidP="004A5486">
      <w:pPr>
        <w:pStyle w:val="Prrafodelista"/>
        <w:spacing w:before="240" w:after="240" w:line="360" w:lineRule="auto"/>
        <w:ind w:left="502"/>
        <w:jc w:val="both"/>
        <w:rPr>
          <w:rFonts w:ascii="Palatino Linotype" w:hAnsi="Palatino Linotype"/>
          <w:i/>
        </w:rPr>
      </w:pPr>
    </w:p>
    <w:p w:rsidR="00997A9C" w:rsidRDefault="00997A9C" w:rsidP="004A5486">
      <w:pPr>
        <w:pStyle w:val="Prrafodelista"/>
        <w:spacing w:line="360" w:lineRule="auto"/>
        <w:ind w:left="851" w:right="851"/>
        <w:jc w:val="both"/>
        <w:rPr>
          <w:rFonts w:ascii="Palatino Linotype" w:hAnsi="Palatino Linotype"/>
          <w:i/>
        </w:rPr>
      </w:pPr>
      <w:r w:rsidRPr="00983F08">
        <w:rPr>
          <w:rFonts w:ascii="Palatino Linotype" w:hAnsi="Palatino Linotype"/>
          <w:i/>
        </w:rPr>
        <w:t>“</w:t>
      </w:r>
      <w:r w:rsidRPr="00983F08">
        <w:rPr>
          <w:rFonts w:ascii="Palatino Linotype" w:hAnsi="Palatino Linotype"/>
          <w:b/>
          <w:i/>
        </w:rPr>
        <w:t>ACTOS CONSENTIDOS. SON LOS QUE NO SE IMPUGNAN MEDIANTE EL RECURSO IDÓNEO.</w:t>
      </w:r>
      <w:r w:rsidRPr="00983F08">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30CD7" w:rsidRDefault="00983F08" w:rsidP="00983F08">
      <w:pPr>
        <w:pStyle w:val="Sinespaciado"/>
        <w:ind w:left="567"/>
        <w:jc w:val="both"/>
        <w:rPr>
          <w:rFonts w:ascii="Palatino Linotype" w:hAnsi="Palatino Linotype"/>
        </w:rPr>
      </w:pPr>
      <w:r>
        <w:rPr>
          <w:rFonts w:ascii="Palatino Linotype" w:hAnsi="Palatino Linotype"/>
        </w:rPr>
        <w:t>(Énfasis añadido)</w:t>
      </w:r>
    </w:p>
    <w:p w:rsidR="00A35E07" w:rsidRDefault="00A35E07" w:rsidP="00983F08">
      <w:pPr>
        <w:pStyle w:val="Sinespaciado"/>
        <w:ind w:left="567"/>
        <w:jc w:val="both"/>
        <w:rPr>
          <w:rFonts w:ascii="Palatino Linotype" w:hAnsi="Palatino Linotype"/>
        </w:rPr>
      </w:pPr>
    </w:p>
    <w:p w:rsidR="005C79C8" w:rsidRPr="005C79C8"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o y</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además</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983F08">
        <w:rPr>
          <w:rFonts w:ascii="Palatino Linotype" w:eastAsia="Calibri" w:hAnsi="Palatino Linotype" w:cs="Times New Roman"/>
          <w:b/>
          <w:sz w:val="24"/>
          <w:szCs w:val="24"/>
          <w:lang w:val="es-ES" w:eastAsia="es-ES"/>
        </w:rPr>
        <w:t>,</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5C79C8" w:rsidRDefault="005C79C8" w:rsidP="005C79C8">
      <w:pPr>
        <w:pStyle w:val="Prrafodelista"/>
        <w:spacing w:before="240" w:after="240" w:line="360" w:lineRule="auto"/>
        <w:ind w:left="0" w:right="49"/>
        <w:jc w:val="both"/>
        <w:rPr>
          <w:rFonts w:ascii="Palatino Linotype" w:hAnsi="Palatino Linotype" w:cs="Arial"/>
          <w:sz w:val="24"/>
          <w:szCs w:val="24"/>
        </w:rPr>
      </w:pPr>
    </w:p>
    <w:p w:rsidR="00651380" w:rsidRPr="009649F8" w:rsidRDefault="0046491C" w:rsidP="00651380">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3C5606">
        <w:rPr>
          <w:rFonts w:ascii="Palatino Linotype" w:eastAsia="Calibri" w:hAnsi="Palatino Linotype" w:cs="Times New Roman"/>
          <w:sz w:val="24"/>
          <w:szCs w:val="24"/>
          <w:lang w:val="es-ES" w:eastAsia="es-ES"/>
        </w:rPr>
        <w:lastRenderedPageBreak/>
        <w:t xml:space="preserve">En el presente asunto que nos ocupa, es de señalar que del análisis hecho a la resolución en comento, </w:t>
      </w:r>
      <w:r w:rsidR="00E30CD7" w:rsidRPr="003C5606">
        <w:rPr>
          <w:rFonts w:ascii="Palatino Linotype" w:eastAsia="Calibri" w:hAnsi="Palatino Linotype" w:cs="Times New Roman"/>
          <w:sz w:val="24"/>
          <w:szCs w:val="24"/>
          <w:lang w:val="es-ES" w:eastAsia="es-ES"/>
        </w:rPr>
        <w:t xml:space="preserve">se arriba a la conclusión que </w:t>
      </w:r>
      <w:r w:rsidR="00A57BE6" w:rsidRPr="003C5606">
        <w:rPr>
          <w:rFonts w:ascii="Palatino Linotype" w:eastAsia="Calibri" w:hAnsi="Palatino Linotype" w:cs="Times New Roman"/>
          <w:sz w:val="24"/>
          <w:szCs w:val="24"/>
          <w:lang w:val="es-ES" w:eastAsia="es-ES"/>
        </w:rPr>
        <w:t>de la</w:t>
      </w:r>
      <w:r w:rsidR="009649F8">
        <w:rPr>
          <w:rFonts w:ascii="Palatino Linotype" w:eastAsia="Calibri" w:hAnsi="Palatino Linotype" w:cs="Times New Roman"/>
          <w:sz w:val="24"/>
          <w:szCs w:val="24"/>
          <w:lang w:val="es-ES" w:eastAsia="es-ES"/>
        </w:rPr>
        <w:t>s</w:t>
      </w:r>
      <w:r w:rsidR="00A57BE6" w:rsidRPr="003C5606">
        <w:rPr>
          <w:rFonts w:ascii="Palatino Linotype" w:eastAsia="Calibri" w:hAnsi="Palatino Linotype" w:cs="Times New Roman"/>
          <w:sz w:val="24"/>
          <w:szCs w:val="24"/>
          <w:lang w:val="es-ES" w:eastAsia="es-ES"/>
        </w:rPr>
        <w:t xml:space="preserve"> respuesta</w:t>
      </w:r>
      <w:r w:rsidR="009649F8">
        <w:rPr>
          <w:rFonts w:ascii="Palatino Linotype" w:eastAsia="Calibri" w:hAnsi="Palatino Linotype" w:cs="Times New Roman"/>
          <w:sz w:val="24"/>
          <w:szCs w:val="24"/>
          <w:lang w:val="es-ES" w:eastAsia="es-ES"/>
        </w:rPr>
        <w:t>s</w:t>
      </w:r>
      <w:r w:rsidR="00A57BE6" w:rsidRPr="003C5606">
        <w:rPr>
          <w:rFonts w:ascii="Palatino Linotype" w:eastAsia="Calibri" w:hAnsi="Palatino Linotype" w:cs="Times New Roman"/>
          <w:sz w:val="24"/>
          <w:szCs w:val="24"/>
          <w:lang w:val="es-ES" w:eastAsia="es-ES"/>
        </w:rPr>
        <w:t xml:space="preserve"> proporcionada</w:t>
      </w:r>
      <w:r w:rsidR="009649F8">
        <w:rPr>
          <w:rFonts w:ascii="Palatino Linotype" w:eastAsia="Calibri" w:hAnsi="Palatino Linotype" w:cs="Times New Roman"/>
          <w:sz w:val="24"/>
          <w:szCs w:val="24"/>
          <w:lang w:val="es-ES" w:eastAsia="es-ES"/>
        </w:rPr>
        <w:t>s</w:t>
      </w:r>
      <w:r w:rsidR="00A57BE6" w:rsidRPr="003C5606">
        <w:rPr>
          <w:rFonts w:ascii="Palatino Linotype" w:eastAsia="Calibri" w:hAnsi="Palatino Linotype" w:cs="Times New Roman"/>
          <w:sz w:val="24"/>
          <w:szCs w:val="24"/>
          <w:lang w:val="es-ES" w:eastAsia="es-ES"/>
        </w:rPr>
        <w:t xml:space="preserve"> por </w:t>
      </w:r>
      <w:r w:rsidR="00E30CD7" w:rsidRPr="003C5606">
        <w:rPr>
          <w:rFonts w:ascii="Palatino Linotype" w:eastAsia="Calibri" w:hAnsi="Palatino Linotype" w:cs="Times New Roman"/>
          <w:sz w:val="24"/>
          <w:szCs w:val="24"/>
          <w:lang w:val="es-ES" w:eastAsia="es-ES"/>
        </w:rPr>
        <w:t>el</w:t>
      </w:r>
      <w:r w:rsidRPr="003C5606">
        <w:rPr>
          <w:rFonts w:ascii="Palatino Linotype" w:eastAsia="Calibri" w:hAnsi="Palatino Linotype" w:cs="Times New Roman"/>
          <w:sz w:val="24"/>
          <w:szCs w:val="24"/>
          <w:lang w:val="es-ES" w:eastAsia="es-ES"/>
        </w:rPr>
        <w:t xml:space="preserve"> </w:t>
      </w:r>
      <w:r w:rsidRPr="003C5606">
        <w:rPr>
          <w:rFonts w:ascii="Palatino Linotype" w:eastAsia="Calibri" w:hAnsi="Palatino Linotype" w:cs="Times New Roman"/>
          <w:b/>
          <w:sz w:val="24"/>
          <w:szCs w:val="24"/>
          <w:lang w:val="es-ES" w:eastAsia="es-ES"/>
        </w:rPr>
        <w:t>SUJETO OBLIGADO</w:t>
      </w:r>
      <w:r w:rsidR="009649F8">
        <w:rPr>
          <w:rFonts w:ascii="Palatino Linotype" w:eastAsia="Calibri" w:hAnsi="Palatino Linotype" w:cs="Times New Roman"/>
          <w:b/>
          <w:sz w:val="24"/>
          <w:szCs w:val="24"/>
          <w:lang w:val="es-ES" w:eastAsia="es-ES"/>
        </w:rPr>
        <w:t xml:space="preserve">, </w:t>
      </w:r>
      <w:r w:rsidR="009649F8" w:rsidRPr="009649F8">
        <w:rPr>
          <w:rFonts w:ascii="Palatino Linotype" w:eastAsia="Calibri" w:hAnsi="Palatino Linotype" w:cs="Times New Roman"/>
          <w:sz w:val="24"/>
          <w:szCs w:val="24"/>
          <w:lang w:val="es-ES" w:eastAsia="es-ES"/>
        </w:rPr>
        <w:t>en los</w:t>
      </w:r>
      <w:r w:rsidR="00A57BE6" w:rsidRPr="003C5606">
        <w:rPr>
          <w:rFonts w:ascii="Palatino Linotype" w:eastAsia="Calibri" w:hAnsi="Palatino Linotype" w:cs="Times New Roman"/>
          <w:sz w:val="24"/>
          <w:szCs w:val="24"/>
          <w:lang w:val="es-ES" w:eastAsia="es-ES"/>
        </w:rPr>
        <w:t xml:space="preserve"> requerimientos de los cuales la particular ya no se adolece, </w:t>
      </w:r>
      <w:r w:rsidR="003C5606" w:rsidRPr="003C5606">
        <w:rPr>
          <w:rFonts w:ascii="Palatino Linotype" w:eastAsia="Calibri" w:hAnsi="Palatino Linotype" w:cs="Times New Roman"/>
          <w:sz w:val="24"/>
          <w:szCs w:val="24"/>
          <w:lang w:val="es-ES" w:eastAsia="es-ES"/>
        </w:rPr>
        <w:t xml:space="preserve">y que </w:t>
      </w:r>
      <w:r w:rsidR="00675C07" w:rsidRPr="003C5606">
        <w:rPr>
          <w:rFonts w:ascii="Palatino Linotype" w:eastAsia="Calibri" w:hAnsi="Palatino Linotype" w:cs="Times New Roman"/>
          <w:sz w:val="24"/>
          <w:szCs w:val="24"/>
          <w:lang w:val="es-ES" w:eastAsia="es-ES"/>
        </w:rPr>
        <w:t xml:space="preserve">versan en los nombramientos de los integrantes del Comité de Transparencia y del Consejo de Calidad, si bien se proporcionó información para atender ambos requerimientos, </w:t>
      </w:r>
      <w:r w:rsidR="000802F2" w:rsidRPr="009649F8">
        <w:rPr>
          <w:rFonts w:ascii="Palatino Linotype" w:eastAsia="Calibri" w:hAnsi="Palatino Linotype" w:cs="Times New Roman"/>
          <w:sz w:val="24"/>
          <w:szCs w:val="24"/>
          <w:lang w:val="es-ES" w:eastAsia="es-ES"/>
        </w:rPr>
        <w:t xml:space="preserve">a mi consideración era necesario </w:t>
      </w:r>
      <w:r w:rsidR="009649F8" w:rsidRPr="009649F8">
        <w:rPr>
          <w:rFonts w:ascii="Palatino Linotype" w:eastAsia="Calibri" w:hAnsi="Palatino Linotype" w:cs="Times New Roman"/>
          <w:sz w:val="24"/>
          <w:szCs w:val="24"/>
          <w:lang w:val="es-ES" w:eastAsia="es-ES"/>
        </w:rPr>
        <w:t xml:space="preserve">determinar si lo proporcionado era suficiente para colmar los requerimientos de la particular, en atención a la normatividad que rige al </w:t>
      </w:r>
      <w:r w:rsidR="009649F8" w:rsidRPr="009649F8">
        <w:rPr>
          <w:rFonts w:ascii="Palatino Linotype" w:eastAsia="Calibri" w:hAnsi="Palatino Linotype" w:cs="Times New Roman"/>
          <w:b/>
          <w:sz w:val="24"/>
          <w:szCs w:val="24"/>
          <w:lang w:val="es-ES" w:eastAsia="es-ES"/>
        </w:rPr>
        <w:t>SUJETO OBLIGADO</w:t>
      </w:r>
      <w:r w:rsidR="009649F8" w:rsidRPr="009649F8">
        <w:rPr>
          <w:rFonts w:ascii="Palatino Linotype" w:eastAsia="Calibri" w:hAnsi="Palatino Linotype" w:cs="Times New Roman"/>
          <w:sz w:val="24"/>
          <w:szCs w:val="24"/>
          <w:lang w:val="es-ES" w:eastAsia="es-ES"/>
        </w:rPr>
        <w:t xml:space="preserve">, siendo </w:t>
      </w:r>
      <w:r w:rsidR="000802F2" w:rsidRPr="009649F8">
        <w:rPr>
          <w:rFonts w:ascii="Palatino Linotype" w:eastAsia="Calibri" w:hAnsi="Palatino Linotype" w:cs="Times New Roman"/>
          <w:sz w:val="24"/>
          <w:szCs w:val="24"/>
          <w:lang w:val="es-ES" w:eastAsia="es-ES"/>
        </w:rPr>
        <w:t xml:space="preserve">innecesario señalar la figura de actos consentidos, en atención a que éste instituto como </w:t>
      </w:r>
      <w:r w:rsidR="009649F8" w:rsidRPr="009649F8">
        <w:rPr>
          <w:rFonts w:ascii="Palatino Linotype" w:eastAsia="Calibri" w:hAnsi="Palatino Linotype" w:cs="Times New Roman"/>
          <w:sz w:val="24"/>
          <w:szCs w:val="24"/>
          <w:lang w:val="es-ES" w:eastAsia="es-ES"/>
        </w:rPr>
        <w:t>Órgano Garante</w:t>
      </w:r>
      <w:r w:rsidR="000802F2" w:rsidRPr="009649F8">
        <w:rPr>
          <w:rFonts w:ascii="Palatino Linotype" w:eastAsia="Calibri" w:hAnsi="Palatino Linotype" w:cs="Times New Roman"/>
          <w:sz w:val="24"/>
          <w:szCs w:val="24"/>
          <w:lang w:val="es-ES" w:eastAsia="es-ES"/>
        </w:rPr>
        <w:t xml:space="preserve">, tiene el deber de velar por el cabal cumplimiento al derecho humano de acceso a la información, mas no limitarlo invocando el multicitado argumento de actos consentidos, ello sin considerar que la Ponencia Resolutora entró al estudio de fondo del asunto e inclusive determinó </w:t>
      </w:r>
      <w:r w:rsidR="000802F2" w:rsidRPr="009649F8">
        <w:rPr>
          <w:rFonts w:ascii="Palatino Linotype" w:eastAsia="Calibri" w:hAnsi="Palatino Linotype" w:cs="Times New Roman"/>
          <w:b/>
          <w:sz w:val="24"/>
          <w:szCs w:val="24"/>
          <w:lang w:val="es-ES" w:eastAsia="es-ES"/>
        </w:rPr>
        <w:t>MODIFICAR</w:t>
      </w:r>
      <w:r w:rsidR="000802F2" w:rsidRPr="009649F8">
        <w:rPr>
          <w:rFonts w:ascii="Palatino Linotype" w:eastAsia="Calibri" w:hAnsi="Palatino Linotype" w:cs="Times New Roman"/>
          <w:sz w:val="24"/>
          <w:szCs w:val="24"/>
          <w:lang w:val="es-ES" w:eastAsia="es-ES"/>
        </w:rPr>
        <w:t xml:space="preserve"> la</w:t>
      </w:r>
      <w:r w:rsidR="009649F8" w:rsidRPr="009649F8">
        <w:rPr>
          <w:rFonts w:ascii="Palatino Linotype" w:eastAsia="Calibri" w:hAnsi="Palatino Linotype" w:cs="Times New Roman"/>
          <w:sz w:val="24"/>
          <w:szCs w:val="24"/>
          <w:lang w:val="es-ES" w:eastAsia="es-ES"/>
        </w:rPr>
        <w:t xml:space="preserve">s </w:t>
      </w:r>
      <w:r w:rsidR="000802F2" w:rsidRPr="009649F8">
        <w:rPr>
          <w:rFonts w:ascii="Palatino Linotype" w:eastAsia="Calibri" w:hAnsi="Palatino Linotype" w:cs="Times New Roman"/>
          <w:sz w:val="24"/>
          <w:szCs w:val="24"/>
          <w:lang w:val="es-ES" w:eastAsia="es-ES"/>
        </w:rPr>
        <w:t>respuesta</w:t>
      </w:r>
      <w:r w:rsidR="009649F8" w:rsidRPr="009649F8">
        <w:rPr>
          <w:rFonts w:ascii="Palatino Linotype" w:eastAsia="Calibri" w:hAnsi="Palatino Linotype" w:cs="Times New Roman"/>
          <w:sz w:val="24"/>
          <w:szCs w:val="24"/>
          <w:lang w:val="es-ES" w:eastAsia="es-ES"/>
        </w:rPr>
        <w:t>s</w:t>
      </w:r>
      <w:r w:rsidR="000802F2" w:rsidRPr="009649F8">
        <w:rPr>
          <w:rFonts w:ascii="Palatino Linotype" w:eastAsia="Calibri" w:hAnsi="Palatino Linotype" w:cs="Times New Roman"/>
          <w:sz w:val="24"/>
          <w:szCs w:val="24"/>
          <w:lang w:val="es-ES" w:eastAsia="es-ES"/>
        </w:rPr>
        <w:t xml:space="preserve"> primigenia</w:t>
      </w:r>
      <w:r w:rsidR="009649F8" w:rsidRPr="009649F8">
        <w:rPr>
          <w:rFonts w:ascii="Palatino Linotype" w:eastAsia="Calibri" w:hAnsi="Palatino Linotype" w:cs="Times New Roman"/>
          <w:sz w:val="24"/>
          <w:szCs w:val="24"/>
          <w:lang w:val="es-ES" w:eastAsia="es-ES"/>
        </w:rPr>
        <w:t>s</w:t>
      </w:r>
      <w:r w:rsidR="000802F2" w:rsidRPr="009649F8">
        <w:rPr>
          <w:rFonts w:ascii="Palatino Linotype" w:eastAsia="Calibri" w:hAnsi="Palatino Linotype" w:cs="Times New Roman"/>
          <w:sz w:val="24"/>
          <w:szCs w:val="24"/>
          <w:lang w:val="es-ES" w:eastAsia="es-ES"/>
        </w:rPr>
        <w:t>.</w:t>
      </w: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3" w:name="_Toc270837"/>
      <w:r w:rsidRPr="0001046D">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w:t>
      </w:r>
      <w:r w:rsidRPr="0001046D">
        <w:rPr>
          <w:rFonts w:ascii="Palatino Linotype" w:hAnsi="Palatino Linotype" w:cs="Arial"/>
          <w:sz w:val="24"/>
          <w:szCs w:val="24"/>
        </w:rPr>
        <w:lastRenderedPageBreak/>
        <w:t xml:space="preserve">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w:t>
      </w:r>
      <w:r w:rsidRPr="0001046D">
        <w:rPr>
          <w:rFonts w:ascii="Palatino Linotype" w:hAnsi="Palatino Linotype" w:cs="Arial"/>
          <w:sz w:val="24"/>
          <w:szCs w:val="24"/>
        </w:rPr>
        <w:lastRenderedPageBreak/>
        <w:t>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1046D" w:rsidRDefault="0046491C" w:rsidP="00E34F08">
      <w:pPr>
        <w:spacing w:after="0" w:line="360" w:lineRule="auto"/>
        <w:jc w:val="both"/>
        <w:rPr>
          <w:rFonts w:ascii="Palatino Linotype" w:hAnsi="Palatino Linotype" w:cs="Arial"/>
          <w:sz w:val="24"/>
          <w:szCs w:val="24"/>
        </w:rPr>
      </w:pPr>
    </w:p>
    <w:p w:rsidR="0046491C"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En este sentido el Dr. Miguel Carbonell ha señalado que:</w:t>
      </w:r>
    </w:p>
    <w:p w:rsidR="00436B8D" w:rsidRPr="0001046D" w:rsidRDefault="00436B8D" w:rsidP="00436B8D">
      <w:pPr>
        <w:pStyle w:val="Prrafodelista"/>
        <w:spacing w:after="0" w:line="360" w:lineRule="auto"/>
        <w:ind w:left="0"/>
        <w:jc w:val="both"/>
        <w:rPr>
          <w:rFonts w:ascii="Palatino Linotype" w:hAnsi="Palatino Linotype" w:cs="Arial"/>
          <w:sz w:val="24"/>
          <w:szCs w:val="24"/>
        </w:rPr>
      </w:pPr>
    </w:p>
    <w:p w:rsidR="0046491C" w:rsidRPr="00E6129E" w:rsidRDefault="0046491C" w:rsidP="00436B8D">
      <w:pPr>
        <w:pStyle w:val="Sinespaciado"/>
        <w:spacing w:line="360" w:lineRule="auto"/>
        <w:ind w:left="567" w:right="616"/>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042ABC" w:rsidRPr="0001046D" w:rsidRDefault="00042ABC" w:rsidP="00042ABC">
      <w:pPr>
        <w:pStyle w:val="Prrafodelista"/>
        <w:spacing w:after="0" w:line="360" w:lineRule="auto"/>
        <w:ind w:left="0"/>
        <w:jc w:val="both"/>
        <w:rPr>
          <w:rFonts w:ascii="Palatino Linotype" w:hAnsi="Palatino Linotype" w:cs="Arial"/>
          <w:sz w:val="24"/>
          <w:szCs w:val="24"/>
        </w:rPr>
      </w:pPr>
    </w:p>
    <w:p w:rsidR="0046491C" w:rsidRPr="0001046D" w:rsidRDefault="00E6129E" w:rsidP="000F6C81">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 Enfrentar este silencio </w:t>
      </w:r>
      <w:r w:rsidR="0046491C" w:rsidRPr="0001046D">
        <w:rPr>
          <w:rFonts w:ascii="Palatino Linotype" w:hAnsi="Palatino Linotype" w:cs="Arial"/>
          <w:sz w:val="24"/>
          <w:szCs w:val="24"/>
        </w:rPr>
        <w:t xml:space="preserve">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w:t>
      </w:r>
      <w:r w:rsidR="0046491C" w:rsidRPr="0001046D">
        <w:rPr>
          <w:rFonts w:ascii="Palatino Linotype" w:hAnsi="Palatino Linotype" w:cs="Arial"/>
          <w:sz w:val="24"/>
          <w:szCs w:val="24"/>
        </w:rPr>
        <w:lastRenderedPageBreak/>
        <w:t>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t xml:space="preserve"> </w:t>
      </w:r>
      <w:r w:rsidRPr="00A71441">
        <w:rPr>
          <w:rFonts w:ascii="Palatino Linotype" w:hAnsi="Palatino Linotype" w:cs="Arial"/>
          <w:sz w:val="24"/>
          <w:szCs w:val="24"/>
        </w:rPr>
        <w:t xml:space="preserve">Mucho menos si consideramos el siguiente criterio: </w:t>
      </w:r>
    </w:p>
    <w:p w:rsidR="0046491C" w:rsidRPr="00E6129E" w:rsidRDefault="0046491C" w:rsidP="00436B8D">
      <w:pPr>
        <w:pStyle w:val="Sinespaciado"/>
        <w:spacing w:line="360" w:lineRule="auto"/>
        <w:ind w:left="567" w:right="616"/>
        <w:jc w:val="both"/>
        <w:rPr>
          <w:rFonts w:ascii="Palatino Linotype" w:hAnsi="Palatino Linotype"/>
          <w:i/>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w:t>
      </w:r>
      <w:r w:rsidRPr="00E6129E">
        <w:rPr>
          <w:rFonts w:ascii="Palatino Linotype" w:hAnsi="Palatino Linotype"/>
          <w:i/>
        </w:rPr>
        <w:lastRenderedPageBreak/>
        <w:t xml:space="preserve">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w:t>
      </w:r>
      <w:r w:rsidR="00042ABC">
        <w:rPr>
          <w:rFonts w:ascii="Palatino Linotype" w:hAnsi="Palatino Linotype" w:cs="Arial"/>
          <w:sz w:val="24"/>
          <w:szCs w:val="24"/>
        </w:rPr>
        <w:t>,</w:t>
      </w:r>
      <w:r w:rsidRPr="00A71441">
        <w:rPr>
          <w:rFonts w:ascii="Palatino Linotype" w:hAnsi="Palatino Linotype" w:cs="Arial"/>
          <w:sz w:val="24"/>
          <w:szCs w:val="24"/>
        </w:rPr>
        <w:t xml:space="preserve"> es innecesario incorporar en las resoluciones de un Órgano Garante como lo es el Instituto de Transparencia, Acceso a la Información Pública y Protección de Datos Personales del Estado de México y  </w:t>
      </w:r>
      <w:r w:rsidRPr="00A71441">
        <w:rPr>
          <w:rFonts w:ascii="Palatino Linotype" w:hAnsi="Palatino Linotype" w:cs="Arial"/>
          <w:sz w:val="24"/>
          <w:szCs w:val="24"/>
        </w:rPr>
        <w:lastRenderedPageBreak/>
        <w:t>Muni</w:t>
      </w:r>
      <w:r w:rsidR="00E6129E">
        <w:rPr>
          <w:rFonts w:ascii="Palatino Linotype" w:hAnsi="Palatino Linotype" w:cs="Arial"/>
          <w:sz w:val="24"/>
          <w:szCs w:val="24"/>
        </w:rPr>
        <w:t>cipios</w:t>
      </w:r>
      <w:r w:rsidR="00042ABC">
        <w:rPr>
          <w:rFonts w:ascii="Palatino Linotype" w:hAnsi="Palatino Linotype" w:cs="Arial"/>
          <w:sz w:val="24"/>
          <w:szCs w:val="24"/>
        </w:rPr>
        <w:t>,</w:t>
      </w:r>
      <w:r w:rsidR="00E6129E">
        <w:rPr>
          <w:rFonts w:ascii="Palatino Linotype" w:hAnsi="Palatino Linotype" w:cs="Arial"/>
          <w:sz w:val="24"/>
          <w:szCs w:val="24"/>
        </w:rPr>
        <w:t xml:space="preserve"> a los actos consentidos</w:t>
      </w:r>
      <w:r w:rsidR="00042ABC">
        <w:rPr>
          <w:rFonts w:ascii="Palatino Linotype" w:hAnsi="Palatino Linotype" w:cs="Arial"/>
          <w:sz w:val="24"/>
          <w:szCs w:val="24"/>
        </w:rPr>
        <w:t>,</w:t>
      </w:r>
      <w:r w:rsidR="00E6129E">
        <w:rPr>
          <w:rFonts w:ascii="Palatino Linotype" w:hAnsi="Palatino Linotype" w:cs="Arial"/>
          <w:sz w:val="24"/>
          <w:szCs w:val="24"/>
        </w:rPr>
        <w:t xml:space="preserve"> </w:t>
      </w:r>
      <w:r w:rsidRPr="00A71441">
        <w:rPr>
          <w:rFonts w:ascii="Palatino Linotype" w:hAnsi="Palatino Linotype" w:cs="Arial"/>
          <w:sz w:val="24"/>
          <w:szCs w:val="24"/>
        </w:rPr>
        <w:t xml:space="preserve">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w:t>
      </w:r>
      <w:r w:rsidRPr="00042ABC">
        <w:rPr>
          <w:rFonts w:ascii="Palatino Linotype" w:hAnsi="Palatino Linotype" w:cs="Arial"/>
          <w:sz w:val="24"/>
          <w:szCs w:val="24"/>
        </w:rPr>
        <w:t xml:space="preserve">Ante tales casos, considero, este Órgano Garante debe cumplir con las obligaciones señaladas en el párrafo tercero del artículo primero de la Constitución Federal, lo que es posible a través de la </w:t>
      </w:r>
      <w:r w:rsidRPr="00042ABC">
        <w:rPr>
          <w:rFonts w:ascii="Palatino Linotype" w:hAnsi="Palatino Linotype" w:cs="Arial"/>
          <w:b/>
          <w:sz w:val="24"/>
          <w:szCs w:val="24"/>
          <w:u w:val="single"/>
        </w:rPr>
        <w:t>suplencia de la queja</w:t>
      </w:r>
      <w:r w:rsidRPr="00042ABC">
        <w:rPr>
          <w:rFonts w:ascii="Palatino Linotype" w:hAnsi="Palatino Linotype" w:cs="Arial"/>
          <w:sz w:val="24"/>
          <w:szCs w:val="24"/>
        </w:rPr>
        <w:t>,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4A5486" w:rsidRPr="00A71441" w:rsidRDefault="004A5486" w:rsidP="004A5486">
      <w:pPr>
        <w:pStyle w:val="Prrafodelista"/>
        <w:spacing w:after="0" w:line="360" w:lineRule="auto"/>
        <w:ind w:left="0"/>
        <w:jc w:val="both"/>
        <w:rPr>
          <w:rFonts w:ascii="Palatino Linotype" w:hAnsi="Palatino Linotype" w:cs="Arial"/>
          <w:sz w:val="24"/>
          <w:szCs w:val="24"/>
        </w:rPr>
      </w:pPr>
    </w:p>
    <w:p w:rsidR="0046491C" w:rsidRPr="00F90F3D" w:rsidRDefault="0046491C" w:rsidP="004A5486">
      <w:pPr>
        <w:pStyle w:val="Sinespaciado"/>
        <w:spacing w:line="360" w:lineRule="auto"/>
        <w:ind w:left="851" w:right="616"/>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w:t>
      </w:r>
      <w:r w:rsidRPr="00F90F3D">
        <w:rPr>
          <w:rFonts w:ascii="Palatino Linotype" w:hAnsi="Palatino Linotype"/>
          <w:i/>
        </w:rPr>
        <w:lastRenderedPageBreak/>
        <w:t xml:space="preserve">derecho, 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A71441">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w:t>
      </w:r>
      <w:r w:rsidRPr="00941370">
        <w:rPr>
          <w:rFonts w:ascii="Palatino Linotype" w:hAnsi="Palatino Linotype" w:cs="Arial"/>
          <w:i/>
          <w:sz w:val="24"/>
          <w:szCs w:val="24"/>
        </w:rPr>
        <w:t>si no ésta expresa razón o motivo de inconformidad en contra de todos los rubros solicitados, dichos rubros deben declararse atendidos, pues se infiere que el recurrente ésta conforme con la información entregada al no contravenir la misma</w:t>
      </w:r>
      <w:r w:rsidRPr="0001046D">
        <w:rPr>
          <w:rFonts w:ascii="Palatino Linotype" w:hAnsi="Palatino Linotype" w:cs="Arial"/>
          <w:sz w:val="24"/>
          <w:szCs w:val="24"/>
        </w:rPr>
        <w:t xml:space="preserve">”.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w:t>
      </w:r>
      <w:r w:rsidRPr="0001046D">
        <w:rPr>
          <w:rFonts w:ascii="Palatino Linotype" w:hAnsi="Palatino Linotype" w:cs="Arial"/>
          <w:sz w:val="24"/>
          <w:szCs w:val="24"/>
        </w:rPr>
        <w:lastRenderedPageBreak/>
        <w:t>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6491C" w:rsidRDefault="0046491C" w:rsidP="00E34F08">
      <w:pPr>
        <w:spacing w:line="360" w:lineRule="auto"/>
        <w:rPr>
          <w:rFonts w:ascii="Palatino Linotype" w:hAnsi="Palatino Linotype"/>
          <w:sz w:val="24"/>
          <w:szCs w:val="24"/>
        </w:rPr>
      </w:pPr>
    </w:p>
    <w:p w:rsidR="004A5486" w:rsidRDefault="004A548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C06207" w:rsidRDefault="004A5486" w:rsidP="004A5486">
      <w:pPr>
        <w:spacing w:line="360" w:lineRule="auto"/>
        <w:jc w:val="center"/>
        <w:rPr>
          <w:rFonts w:ascii="Palatino Linotype" w:hAnsi="Palatino Linotype"/>
          <w:b/>
          <w:sz w:val="24"/>
          <w:szCs w:val="24"/>
        </w:rPr>
      </w:pPr>
      <w:r>
        <w:rPr>
          <w:rFonts w:ascii="Palatino Linotype" w:hAnsi="Palatino Linotype"/>
          <w:b/>
          <w:sz w:val="24"/>
          <w:szCs w:val="24"/>
        </w:rPr>
        <w:t>(RÚBRICA)</w:t>
      </w:r>
    </w:p>
    <w:p w:rsidR="00C06207" w:rsidRDefault="00C06207" w:rsidP="00575478">
      <w:pPr>
        <w:spacing w:line="360" w:lineRule="auto"/>
        <w:rPr>
          <w:rFonts w:ascii="Palatino Linotype" w:hAnsi="Palatino Linotype"/>
          <w:b/>
          <w:sz w:val="24"/>
          <w:szCs w:val="24"/>
        </w:rPr>
      </w:pPr>
    </w:p>
    <w:p w:rsidR="004A5486" w:rsidRDefault="004A5486"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042ABC">
        <w:rPr>
          <w:rFonts w:ascii="Palatino Linotype" w:hAnsi="Palatino Linotype"/>
          <w:b/>
          <w:sz w:val="24"/>
          <w:szCs w:val="24"/>
        </w:rPr>
        <w:t>DAG</w:t>
      </w:r>
      <w:r w:rsidR="00575478">
        <w:rPr>
          <w:rFonts w:ascii="Palatino Linotype" w:hAnsi="Palatino Linotype"/>
          <w:b/>
          <w:sz w:val="24"/>
          <w:szCs w:val="24"/>
        </w:rPr>
        <w:t>.</w:t>
      </w: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2FD" w:rsidRDefault="00F352FD" w:rsidP="00E706DA">
      <w:pPr>
        <w:spacing w:after="0" w:line="240" w:lineRule="auto"/>
      </w:pPr>
      <w:r>
        <w:separator/>
      </w:r>
    </w:p>
  </w:endnote>
  <w:endnote w:type="continuationSeparator" w:id="0">
    <w:p w:rsidR="00F352FD" w:rsidRDefault="00F352FD"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163D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163D31">
              <w:rPr>
                <w:rFonts w:ascii="Palatino Linotype" w:hAnsi="Palatino Linotype"/>
                <w:b/>
                <w:bCs/>
                <w:noProof/>
                <w:sz w:val="20"/>
                <w:szCs w:val="20"/>
              </w:rPr>
              <w:t>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163D31">
              <w:rPr>
                <w:rFonts w:ascii="Palatino Linotype" w:hAnsi="Palatino Linotype"/>
                <w:b/>
                <w:bCs/>
                <w:noProof/>
                <w:sz w:val="20"/>
                <w:szCs w:val="20"/>
              </w:rPr>
              <w:t>18</w:t>
            </w:r>
            <w:r w:rsidRPr="0052203D">
              <w:rPr>
                <w:rFonts w:ascii="Palatino Linotype" w:hAnsi="Palatino Linotype"/>
                <w:b/>
                <w:bCs/>
                <w:sz w:val="20"/>
                <w:szCs w:val="20"/>
              </w:rPr>
              <w:fldChar w:fldCharType="end"/>
            </w:r>
          </w:p>
        </w:sdtContent>
      </w:sdt>
    </w:sdtContent>
  </w:sdt>
  <w:p w:rsidR="00951E8B" w:rsidRDefault="00163D3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163D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2FD" w:rsidRDefault="00F352FD" w:rsidP="00E706DA">
      <w:pPr>
        <w:spacing w:after="0" w:line="240" w:lineRule="auto"/>
      </w:pPr>
      <w:r>
        <w:separator/>
      </w:r>
    </w:p>
  </w:footnote>
  <w:footnote w:type="continuationSeparator" w:id="0">
    <w:p w:rsidR="00F352FD" w:rsidRDefault="00F352FD"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63D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63D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163D3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63D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7"/>
  </w:num>
  <w:num w:numId="5">
    <w:abstractNumId w:val="8"/>
  </w:num>
  <w:num w:numId="6">
    <w:abstractNumId w:val="10"/>
  </w:num>
  <w:num w:numId="7">
    <w:abstractNumId w:val="13"/>
  </w:num>
  <w:num w:numId="8">
    <w:abstractNumId w:val="11"/>
  </w:num>
  <w:num w:numId="9">
    <w:abstractNumId w:val="15"/>
  </w:num>
  <w:num w:numId="10">
    <w:abstractNumId w:val="1"/>
  </w:num>
  <w:num w:numId="11">
    <w:abstractNumId w:val="14"/>
  </w:num>
  <w:num w:numId="12">
    <w:abstractNumId w:val="6"/>
  </w:num>
  <w:num w:numId="13">
    <w:abstractNumId w:val="2"/>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54F1"/>
    <w:rsid w:val="00042ABC"/>
    <w:rsid w:val="00073F0D"/>
    <w:rsid w:val="000802F2"/>
    <w:rsid w:val="000951B4"/>
    <w:rsid w:val="000A77B5"/>
    <w:rsid w:val="000A7B66"/>
    <w:rsid w:val="000F6C81"/>
    <w:rsid w:val="000F6CBB"/>
    <w:rsid w:val="00105730"/>
    <w:rsid w:val="00122625"/>
    <w:rsid w:val="00163D31"/>
    <w:rsid w:val="00194B6A"/>
    <w:rsid w:val="001D3F34"/>
    <w:rsid w:val="0020315F"/>
    <w:rsid w:val="002036ED"/>
    <w:rsid w:val="00222DD9"/>
    <w:rsid w:val="00225026"/>
    <w:rsid w:val="0025608F"/>
    <w:rsid w:val="00260D6C"/>
    <w:rsid w:val="002620E9"/>
    <w:rsid w:val="00281310"/>
    <w:rsid w:val="002C1F75"/>
    <w:rsid w:val="00302832"/>
    <w:rsid w:val="00303664"/>
    <w:rsid w:val="00304DAA"/>
    <w:rsid w:val="00346DBD"/>
    <w:rsid w:val="00367E00"/>
    <w:rsid w:val="003705BB"/>
    <w:rsid w:val="003747A5"/>
    <w:rsid w:val="003837C2"/>
    <w:rsid w:val="003A74F5"/>
    <w:rsid w:val="003C5606"/>
    <w:rsid w:val="003D7B9E"/>
    <w:rsid w:val="00412952"/>
    <w:rsid w:val="00413496"/>
    <w:rsid w:val="004148A3"/>
    <w:rsid w:val="00424DE3"/>
    <w:rsid w:val="00436B8D"/>
    <w:rsid w:val="00444048"/>
    <w:rsid w:val="0046491C"/>
    <w:rsid w:val="0048490F"/>
    <w:rsid w:val="0049456C"/>
    <w:rsid w:val="004A5486"/>
    <w:rsid w:val="004F5418"/>
    <w:rsid w:val="00532410"/>
    <w:rsid w:val="00563071"/>
    <w:rsid w:val="00575478"/>
    <w:rsid w:val="005A3267"/>
    <w:rsid w:val="005A4C79"/>
    <w:rsid w:val="005C79C8"/>
    <w:rsid w:val="005F3760"/>
    <w:rsid w:val="00634736"/>
    <w:rsid w:val="00644249"/>
    <w:rsid w:val="00651380"/>
    <w:rsid w:val="00652F8C"/>
    <w:rsid w:val="006728FD"/>
    <w:rsid w:val="00673293"/>
    <w:rsid w:val="00675C07"/>
    <w:rsid w:val="0069498B"/>
    <w:rsid w:val="006C1E90"/>
    <w:rsid w:val="006D5F6A"/>
    <w:rsid w:val="006E2606"/>
    <w:rsid w:val="00717C0D"/>
    <w:rsid w:val="0072136B"/>
    <w:rsid w:val="00730A90"/>
    <w:rsid w:val="0076241F"/>
    <w:rsid w:val="00770016"/>
    <w:rsid w:val="00790E37"/>
    <w:rsid w:val="007A7FAD"/>
    <w:rsid w:val="007B2FBA"/>
    <w:rsid w:val="007E2CF8"/>
    <w:rsid w:val="00814E97"/>
    <w:rsid w:val="00817B97"/>
    <w:rsid w:val="00826FCB"/>
    <w:rsid w:val="008355BF"/>
    <w:rsid w:val="008361CA"/>
    <w:rsid w:val="00850252"/>
    <w:rsid w:val="00854C2E"/>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1370"/>
    <w:rsid w:val="0094239C"/>
    <w:rsid w:val="009457EF"/>
    <w:rsid w:val="0095013C"/>
    <w:rsid w:val="009649F8"/>
    <w:rsid w:val="00983F08"/>
    <w:rsid w:val="00997A9C"/>
    <w:rsid w:val="009B4E7D"/>
    <w:rsid w:val="009C4EF6"/>
    <w:rsid w:val="00A35E07"/>
    <w:rsid w:val="00A57BE6"/>
    <w:rsid w:val="00A63717"/>
    <w:rsid w:val="00A71441"/>
    <w:rsid w:val="00A90811"/>
    <w:rsid w:val="00AA49F3"/>
    <w:rsid w:val="00AA7B27"/>
    <w:rsid w:val="00AB023D"/>
    <w:rsid w:val="00AB126B"/>
    <w:rsid w:val="00AC381E"/>
    <w:rsid w:val="00AC64C5"/>
    <w:rsid w:val="00AE4797"/>
    <w:rsid w:val="00AE58DA"/>
    <w:rsid w:val="00AF73BC"/>
    <w:rsid w:val="00B02A47"/>
    <w:rsid w:val="00B120CA"/>
    <w:rsid w:val="00B25A37"/>
    <w:rsid w:val="00B62486"/>
    <w:rsid w:val="00B6406E"/>
    <w:rsid w:val="00BC7B0C"/>
    <w:rsid w:val="00BF3534"/>
    <w:rsid w:val="00C06207"/>
    <w:rsid w:val="00CE0823"/>
    <w:rsid w:val="00D33AF9"/>
    <w:rsid w:val="00D363F7"/>
    <w:rsid w:val="00D72985"/>
    <w:rsid w:val="00D7508B"/>
    <w:rsid w:val="00DA6B18"/>
    <w:rsid w:val="00DB04F1"/>
    <w:rsid w:val="00DF6F7E"/>
    <w:rsid w:val="00E30CD7"/>
    <w:rsid w:val="00E34F08"/>
    <w:rsid w:val="00E35329"/>
    <w:rsid w:val="00E6129E"/>
    <w:rsid w:val="00E61AB8"/>
    <w:rsid w:val="00E706DA"/>
    <w:rsid w:val="00E83E93"/>
    <w:rsid w:val="00E90EB5"/>
    <w:rsid w:val="00E94FBF"/>
    <w:rsid w:val="00EA2C08"/>
    <w:rsid w:val="00ED288D"/>
    <w:rsid w:val="00ED57EE"/>
    <w:rsid w:val="00EF0C2D"/>
    <w:rsid w:val="00F25783"/>
    <w:rsid w:val="00F352FD"/>
    <w:rsid w:val="00F45161"/>
    <w:rsid w:val="00F46E78"/>
    <w:rsid w:val="00F857BC"/>
    <w:rsid w:val="00F90F3D"/>
    <w:rsid w:val="00FB7887"/>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18</Pages>
  <Words>4040</Words>
  <Characters>22222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2019-02-05T22:17:00Z</cp:lastPrinted>
  <dcterms:created xsi:type="dcterms:W3CDTF">2019-02-05T15:46:00Z</dcterms:created>
  <dcterms:modified xsi:type="dcterms:W3CDTF">2019-03-14T17:56:00Z</dcterms:modified>
</cp:coreProperties>
</file>